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A32" w:rsidRPr="009E4A32" w:rsidRDefault="009E4A32" w:rsidP="009E4A32">
      <w:pPr>
        <w:pBdr>
          <w:bottom w:val="single" w:sz="4" w:space="1" w:color="auto"/>
        </w:pBdr>
        <w:spacing w:line="360" w:lineRule="auto"/>
        <w:jc w:val="both"/>
        <w:rPr>
          <w:rFonts w:ascii="Calibri" w:eastAsia="Calibri" w:hAnsi="Calibri" w:cs="Times New Roman"/>
          <w:b/>
          <w:sz w:val="24"/>
        </w:rPr>
      </w:pPr>
      <w:bookmarkStart w:id="0" w:name="_GoBack"/>
      <w:bookmarkEnd w:id="0"/>
      <w:r w:rsidRPr="009E4A32">
        <w:rPr>
          <w:rFonts w:ascii="Calibri" w:eastAsia="Calibri" w:hAnsi="Calibri" w:cs="Times New Roman"/>
          <w:b/>
          <w:sz w:val="24"/>
        </w:rPr>
        <w:t>Data Report Sheet: Market Developments for electronic communications and post</w:t>
      </w:r>
    </w:p>
    <w:p w:rsidR="009E4A32" w:rsidRPr="009E4A32" w:rsidRDefault="009E4A32" w:rsidP="009E4A32">
      <w:pPr>
        <w:pBdr>
          <w:bottom w:val="single" w:sz="4" w:space="1" w:color="auto"/>
        </w:pBdr>
        <w:spacing w:line="360" w:lineRule="auto"/>
        <w:jc w:val="both"/>
        <w:rPr>
          <w:rFonts w:ascii="Calibri" w:eastAsia="Calibri" w:hAnsi="Calibri" w:cs="Times New Roman"/>
          <w:b/>
          <w:i/>
          <w:sz w:val="24"/>
        </w:rPr>
      </w:pPr>
      <w:r w:rsidRPr="009E4A32">
        <w:rPr>
          <w:rFonts w:ascii="Calibri" w:eastAsia="Calibri" w:hAnsi="Calibri" w:cs="Times New Roman"/>
          <w:b/>
          <w:i/>
          <w:sz w:val="24"/>
        </w:rPr>
        <w:t>Period under review: F</w:t>
      </w:r>
      <w:r w:rsidR="00290D34">
        <w:rPr>
          <w:rFonts w:ascii="Calibri" w:eastAsia="Calibri" w:hAnsi="Calibri" w:cs="Times New Roman"/>
          <w:b/>
          <w:i/>
          <w:sz w:val="24"/>
        </w:rPr>
        <w:t xml:space="preserve">irst </w:t>
      </w:r>
      <w:r w:rsidRPr="009E4A32">
        <w:rPr>
          <w:rFonts w:ascii="Calibri" w:eastAsia="Calibri" w:hAnsi="Calibri" w:cs="Times New Roman"/>
          <w:b/>
          <w:i/>
          <w:sz w:val="24"/>
        </w:rPr>
        <w:t>quarter of 20</w:t>
      </w:r>
      <w:r w:rsidR="00290D34">
        <w:rPr>
          <w:rFonts w:ascii="Calibri" w:eastAsia="Calibri" w:hAnsi="Calibri" w:cs="Times New Roman"/>
          <w:b/>
          <w:i/>
          <w:sz w:val="24"/>
        </w:rPr>
        <w:t>20</w:t>
      </w:r>
    </w:p>
    <w:p w:rsidR="009E4A32" w:rsidRPr="009E4A32" w:rsidRDefault="009E4A32" w:rsidP="009E4A32">
      <w:pPr>
        <w:spacing w:line="360" w:lineRule="auto"/>
        <w:jc w:val="both"/>
        <w:rPr>
          <w:rFonts w:ascii="Calibri" w:eastAsia="Calibri" w:hAnsi="Calibri" w:cs="Times New Roman"/>
          <w:sz w:val="24"/>
        </w:rPr>
      </w:pPr>
      <w:r w:rsidRPr="009E4A32">
        <w:rPr>
          <w:rFonts w:ascii="Calibri" w:eastAsia="Calibri" w:hAnsi="Calibri" w:cs="Times New Roman"/>
          <w:sz w:val="24"/>
        </w:rPr>
        <w:t>Th</w:t>
      </w:r>
      <w:r w:rsidR="00222E17">
        <w:rPr>
          <w:rFonts w:ascii="Calibri" w:eastAsia="Calibri" w:hAnsi="Calibri" w:cs="Times New Roman"/>
          <w:sz w:val="24"/>
        </w:rPr>
        <w:t xml:space="preserve">e MCA </w:t>
      </w:r>
      <w:r w:rsidR="005C559A">
        <w:rPr>
          <w:rFonts w:ascii="Calibri" w:eastAsia="Calibri" w:hAnsi="Calibri" w:cs="Times New Roman"/>
          <w:sz w:val="24"/>
        </w:rPr>
        <w:t xml:space="preserve">is </w:t>
      </w:r>
      <w:r w:rsidR="00222E17">
        <w:rPr>
          <w:rFonts w:ascii="Calibri" w:eastAsia="Calibri" w:hAnsi="Calibri" w:cs="Times New Roman"/>
          <w:sz w:val="24"/>
        </w:rPr>
        <w:t>hereby outlining the main trend</w:t>
      </w:r>
      <w:r w:rsidRPr="009E4A32">
        <w:rPr>
          <w:rFonts w:ascii="Calibri" w:eastAsia="Calibri" w:hAnsi="Calibri" w:cs="Times New Roman"/>
          <w:sz w:val="24"/>
        </w:rPr>
        <w:t xml:space="preserve">s </w:t>
      </w:r>
      <w:r w:rsidR="00222E17">
        <w:rPr>
          <w:rFonts w:ascii="Calibri" w:eastAsia="Calibri" w:hAnsi="Calibri" w:cs="Times New Roman"/>
          <w:sz w:val="24"/>
        </w:rPr>
        <w:t>observed for the</w:t>
      </w:r>
      <w:r w:rsidR="005C559A">
        <w:rPr>
          <w:rFonts w:ascii="Calibri" w:eastAsia="Calibri" w:hAnsi="Calibri" w:cs="Times New Roman"/>
          <w:sz w:val="24"/>
        </w:rPr>
        <w:t xml:space="preserve"> Maltese </w:t>
      </w:r>
      <w:r w:rsidR="00222E17">
        <w:rPr>
          <w:rFonts w:ascii="Calibri" w:eastAsia="Calibri" w:hAnsi="Calibri" w:cs="Times New Roman"/>
          <w:sz w:val="24"/>
        </w:rPr>
        <w:t>telecoms</w:t>
      </w:r>
      <w:r w:rsidRPr="009E4A32">
        <w:rPr>
          <w:rFonts w:ascii="Calibri" w:eastAsia="Calibri" w:hAnsi="Calibri" w:cs="Times New Roman"/>
          <w:sz w:val="24"/>
        </w:rPr>
        <w:t xml:space="preserve"> and postal </w:t>
      </w:r>
      <w:r w:rsidR="00222E17">
        <w:rPr>
          <w:rFonts w:ascii="Calibri" w:eastAsia="Calibri" w:hAnsi="Calibri" w:cs="Times New Roman"/>
          <w:sz w:val="24"/>
        </w:rPr>
        <w:t>segment</w:t>
      </w:r>
      <w:r w:rsidRPr="009E4A32">
        <w:rPr>
          <w:rFonts w:ascii="Calibri" w:eastAsia="Calibri" w:hAnsi="Calibri" w:cs="Times New Roman"/>
          <w:sz w:val="24"/>
        </w:rPr>
        <w:t xml:space="preserve">s in </w:t>
      </w:r>
      <w:r w:rsidR="005C559A">
        <w:rPr>
          <w:rFonts w:ascii="Calibri" w:eastAsia="Calibri" w:hAnsi="Calibri" w:cs="Times New Roman"/>
          <w:sz w:val="24"/>
        </w:rPr>
        <w:t>the f</w:t>
      </w:r>
      <w:r w:rsidR="00290D34">
        <w:rPr>
          <w:rFonts w:ascii="Calibri" w:eastAsia="Calibri" w:hAnsi="Calibri" w:cs="Times New Roman"/>
          <w:sz w:val="24"/>
        </w:rPr>
        <w:t>irst</w:t>
      </w:r>
      <w:r w:rsidR="005C559A">
        <w:rPr>
          <w:rFonts w:ascii="Calibri" w:eastAsia="Calibri" w:hAnsi="Calibri" w:cs="Times New Roman"/>
          <w:sz w:val="24"/>
        </w:rPr>
        <w:t xml:space="preserve"> quarter of 20</w:t>
      </w:r>
      <w:r w:rsidR="00290D34">
        <w:rPr>
          <w:rFonts w:ascii="Calibri" w:eastAsia="Calibri" w:hAnsi="Calibri" w:cs="Times New Roman"/>
          <w:sz w:val="24"/>
        </w:rPr>
        <w:t>20</w:t>
      </w:r>
      <w:r w:rsidR="00222E17">
        <w:rPr>
          <w:rFonts w:ascii="Calibri" w:eastAsia="Calibri" w:hAnsi="Calibri" w:cs="Times New Roman"/>
          <w:sz w:val="24"/>
        </w:rPr>
        <w:t>. Insights are based o</w:t>
      </w:r>
      <w:r w:rsidR="00F10D8C">
        <w:rPr>
          <w:rFonts w:ascii="Calibri" w:eastAsia="Calibri" w:hAnsi="Calibri" w:cs="Times New Roman"/>
          <w:sz w:val="24"/>
        </w:rPr>
        <w:t xml:space="preserve">n data </w:t>
      </w:r>
      <w:r w:rsidR="00AB5025">
        <w:rPr>
          <w:rFonts w:ascii="Calibri" w:eastAsia="Calibri" w:hAnsi="Calibri" w:cs="Times New Roman"/>
          <w:sz w:val="24"/>
        </w:rPr>
        <w:t xml:space="preserve">that the MCA collects on a quarterly basis from </w:t>
      </w:r>
      <w:r w:rsidRPr="009E4A32">
        <w:rPr>
          <w:rFonts w:ascii="Calibri" w:eastAsia="Calibri" w:hAnsi="Calibri" w:cs="Times New Roman"/>
          <w:sz w:val="24"/>
        </w:rPr>
        <w:t>local service providers</w:t>
      </w:r>
      <w:r w:rsidR="00222E17">
        <w:rPr>
          <w:rFonts w:ascii="Calibri" w:eastAsia="Calibri" w:hAnsi="Calibri" w:cs="Times New Roman"/>
          <w:sz w:val="24"/>
        </w:rPr>
        <w:t xml:space="preserve"> and which is presented in more detail in the </w:t>
      </w:r>
      <w:r w:rsidRPr="009E4A32">
        <w:rPr>
          <w:rFonts w:ascii="Calibri" w:eastAsia="Calibri" w:hAnsi="Calibri" w:cs="Times New Roman"/>
          <w:sz w:val="24"/>
        </w:rPr>
        <w:t>‘Data Report Sheet (DRS)’</w:t>
      </w:r>
      <w:r w:rsidR="00222E17">
        <w:rPr>
          <w:rFonts w:ascii="Calibri" w:eastAsia="Calibri" w:hAnsi="Calibri" w:cs="Times New Roman"/>
          <w:sz w:val="24"/>
        </w:rPr>
        <w:t xml:space="preserve"> publication</w:t>
      </w:r>
      <w:r w:rsidRPr="009E4A32">
        <w:rPr>
          <w:rFonts w:ascii="Calibri" w:eastAsia="Calibri" w:hAnsi="Calibri" w:cs="Times New Roman"/>
          <w:sz w:val="24"/>
        </w:rPr>
        <w:t xml:space="preserve"> covering the period Q1 201</w:t>
      </w:r>
      <w:r w:rsidR="00290D34">
        <w:rPr>
          <w:rFonts w:ascii="Calibri" w:eastAsia="Calibri" w:hAnsi="Calibri" w:cs="Times New Roman"/>
          <w:sz w:val="24"/>
        </w:rPr>
        <w:t>6</w:t>
      </w:r>
      <w:r w:rsidRPr="009E4A32">
        <w:rPr>
          <w:rFonts w:ascii="Calibri" w:eastAsia="Calibri" w:hAnsi="Calibri" w:cs="Times New Roman"/>
          <w:sz w:val="24"/>
        </w:rPr>
        <w:t xml:space="preserve"> to Q</w:t>
      </w:r>
      <w:r w:rsidR="00290D34">
        <w:rPr>
          <w:rFonts w:ascii="Calibri" w:eastAsia="Calibri" w:hAnsi="Calibri" w:cs="Times New Roman"/>
          <w:sz w:val="24"/>
        </w:rPr>
        <w:t>1</w:t>
      </w:r>
      <w:r w:rsidRPr="009E4A32">
        <w:rPr>
          <w:rFonts w:ascii="Calibri" w:eastAsia="Calibri" w:hAnsi="Calibri" w:cs="Times New Roman"/>
          <w:sz w:val="24"/>
        </w:rPr>
        <w:t xml:space="preserve"> 20</w:t>
      </w:r>
      <w:r w:rsidR="00290D34">
        <w:rPr>
          <w:rFonts w:ascii="Calibri" w:eastAsia="Calibri" w:hAnsi="Calibri" w:cs="Times New Roman"/>
          <w:sz w:val="24"/>
        </w:rPr>
        <w:t>20</w:t>
      </w:r>
      <w:r w:rsidRPr="009E4A32">
        <w:rPr>
          <w:rFonts w:ascii="Calibri" w:eastAsia="Calibri" w:hAnsi="Calibri" w:cs="Times New Roman"/>
          <w:sz w:val="24"/>
        </w:rPr>
        <w:t xml:space="preserve">.  </w:t>
      </w:r>
    </w:p>
    <w:p w:rsidR="009E4A32" w:rsidRPr="009E4A32" w:rsidRDefault="009E4A32" w:rsidP="009E4A32">
      <w:pPr>
        <w:spacing w:line="360" w:lineRule="auto"/>
        <w:jc w:val="both"/>
        <w:rPr>
          <w:rFonts w:ascii="Calibri" w:eastAsia="Calibri" w:hAnsi="Calibri" w:cs="Times New Roman"/>
          <w:b/>
          <w:sz w:val="24"/>
        </w:rPr>
      </w:pPr>
      <w:r w:rsidRPr="009E4A32">
        <w:rPr>
          <w:rFonts w:ascii="Calibri" w:eastAsia="Calibri" w:hAnsi="Calibri" w:cs="Times New Roman"/>
          <w:b/>
          <w:i/>
          <w:sz w:val="24"/>
        </w:rPr>
        <w:t>Overall developments</w:t>
      </w:r>
    </w:p>
    <w:p w:rsidR="000140CB" w:rsidRDefault="009E4A32" w:rsidP="00D82BEF">
      <w:pPr>
        <w:spacing w:line="360" w:lineRule="auto"/>
        <w:jc w:val="both"/>
        <w:rPr>
          <w:rFonts w:ascii="Calibri" w:eastAsia="Calibri" w:hAnsi="Calibri" w:cs="Times New Roman"/>
          <w:sz w:val="24"/>
        </w:rPr>
      </w:pPr>
      <w:r w:rsidRPr="001139DD">
        <w:rPr>
          <w:rFonts w:ascii="Calibri" w:eastAsia="Calibri" w:hAnsi="Calibri" w:cs="Times New Roman"/>
          <w:sz w:val="24"/>
        </w:rPr>
        <w:t>The</w:t>
      </w:r>
      <w:r w:rsidR="00D404F0">
        <w:rPr>
          <w:rFonts w:ascii="Calibri" w:eastAsia="Calibri" w:hAnsi="Calibri" w:cs="Times New Roman"/>
          <w:sz w:val="24"/>
        </w:rPr>
        <w:t xml:space="preserve"> first quarter of 2020</w:t>
      </w:r>
      <w:r w:rsidR="000140CB">
        <w:rPr>
          <w:rFonts w:ascii="Calibri" w:eastAsia="Calibri" w:hAnsi="Calibri" w:cs="Times New Roman"/>
          <w:sz w:val="24"/>
        </w:rPr>
        <w:t xml:space="preserve"> (Q1)</w:t>
      </w:r>
      <w:r w:rsidR="00D404F0">
        <w:rPr>
          <w:rFonts w:ascii="Calibri" w:eastAsia="Calibri" w:hAnsi="Calibri" w:cs="Times New Roman"/>
          <w:sz w:val="24"/>
        </w:rPr>
        <w:t xml:space="preserve"> coincides with the first days of </w:t>
      </w:r>
      <w:r w:rsidR="000140CB">
        <w:rPr>
          <w:rFonts w:ascii="Calibri" w:eastAsia="Calibri" w:hAnsi="Calibri" w:cs="Times New Roman"/>
          <w:sz w:val="24"/>
        </w:rPr>
        <w:t>measures</w:t>
      </w:r>
      <w:r w:rsidR="00207F48">
        <w:rPr>
          <w:rFonts w:ascii="Calibri" w:eastAsia="Calibri" w:hAnsi="Calibri" w:cs="Times New Roman"/>
          <w:sz w:val="24"/>
        </w:rPr>
        <w:t xml:space="preserve"> aimed </w:t>
      </w:r>
      <w:r w:rsidR="00201C11">
        <w:rPr>
          <w:rFonts w:ascii="Calibri" w:eastAsia="Calibri" w:hAnsi="Calibri" w:cs="Times New Roman"/>
          <w:sz w:val="24"/>
        </w:rPr>
        <w:t>to check the spread of the coronavirus</w:t>
      </w:r>
      <w:r w:rsidR="00D404F0">
        <w:rPr>
          <w:rFonts w:ascii="Calibri" w:eastAsia="Calibri" w:hAnsi="Calibri" w:cs="Times New Roman"/>
          <w:sz w:val="24"/>
        </w:rPr>
        <w:t>. Significantly, many people were</w:t>
      </w:r>
      <w:r w:rsidR="000140CB">
        <w:rPr>
          <w:rFonts w:ascii="Calibri" w:eastAsia="Calibri" w:hAnsi="Calibri" w:cs="Times New Roman"/>
          <w:sz w:val="24"/>
        </w:rPr>
        <w:t xml:space="preserve"> asked</w:t>
      </w:r>
      <w:r w:rsidR="00D404F0">
        <w:rPr>
          <w:rFonts w:ascii="Calibri" w:eastAsia="Calibri" w:hAnsi="Calibri" w:cs="Times New Roman"/>
          <w:sz w:val="24"/>
        </w:rPr>
        <w:t xml:space="preserve"> to work remotely</w:t>
      </w:r>
      <w:r w:rsidR="0027487C">
        <w:rPr>
          <w:rFonts w:ascii="Calibri" w:eastAsia="Calibri" w:hAnsi="Calibri" w:cs="Times New Roman"/>
          <w:sz w:val="24"/>
        </w:rPr>
        <w:t xml:space="preserve"> from their homes</w:t>
      </w:r>
      <w:r w:rsidR="00D404F0">
        <w:rPr>
          <w:rFonts w:ascii="Calibri" w:eastAsia="Calibri" w:hAnsi="Calibri" w:cs="Times New Roman"/>
          <w:sz w:val="24"/>
        </w:rPr>
        <w:t xml:space="preserve">, thus requiring telecom operators to step up efforts to meet </w:t>
      </w:r>
      <w:r w:rsidR="000140CB">
        <w:rPr>
          <w:rFonts w:ascii="Calibri" w:eastAsia="Calibri" w:hAnsi="Calibri" w:cs="Times New Roman"/>
          <w:sz w:val="24"/>
        </w:rPr>
        <w:t>stronger</w:t>
      </w:r>
      <w:r w:rsidR="00D404F0">
        <w:rPr>
          <w:rFonts w:ascii="Calibri" w:eastAsia="Calibri" w:hAnsi="Calibri" w:cs="Times New Roman"/>
          <w:sz w:val="24"/>
        </w:rPr>
        <w:t xml:space="preserve"> demand </w:t>
      </w:r>
      <w:r w:rsidR="00BC3A8B">
        <w:rPr>
          <w:rFonts w:ascii="Calibri" w:eastAsia="Calibri" w:hAnsi="Calibri" w:cs="Times New Roman"/>
          <w:sz w:val="24"/>
        </w:rPr>
        <w:t xml:space="preserve">for connectivity and an accelerating </w:t>
      </w:r>
      <w:r w:rsidR="000140CB">
        <w:rPr>
          <w:rFonts w:ascii="Calibri" w:eastAsia="Calibri" w:hAnsi="Calibri" w:cs="Times New Roman"/>
          <w:sz w:val="24"/>
        </w:rPr>
        <w:t xml:space="preserve">rise </w:t>
      </w:r>
      <w:r w:rsidR="00BC3A8B">
        <w:rPr>
          <w:rFonts w:ascii="Calibri" w:eastAsia="Calibri" w:hAnsi="Calibri" w:cs="Times New Roman"/>
          <w:sz w:val="24"/>
        </w:rPr>
        <w:t xml:space="preserve">in mobile data consumption. </w:t>
      </w:r>
    </w:p>
    <w:p w:rsidR="007E294C" w:rsidRDefault="00207F48" w:rsidP="00D82BEF">
      <w:pPr>
        <w:spacing w:line="360" w:lineRule="auto"/>
        <w:jc w:val="both"/>
        <w:rPr>
          <w:rFonts w:ascii="Calibri" w:eastAsia="Calibri" w:hAnsi="Calibri" w:cs="Times New Roman"/>
          <w:sz w:val="24"/>
        </w:rPr>
      </w:pPr>
      <w:r>
        <w:rPr>
          <w:rFonts w:ascii="Calibri" w:eastAsia="Calibri" w:hAnsi="Calibri" w:cs="Times New Roman"/>
          <w:sz w:val="24"/>
        </w:rPr>
        <w:t>Effectively</w:t>
      </w:r>
      <w:r w:rsidR="00BC3A8B">
        <w:rPr>
          <w:rFonts w:ascii="Calibri" w:eastAsia="Calibri" w:hAnsi="Calibri" w:cs="Times New Roman"/>
          <w:sz w:val="24"/>
        </w:rPr>
        <w:t xml:space="preserve">, </w:t>
      </w:r>
      <w:r w:rsidR="00DC4186">
        <w:rPr>
          <w:rFonts w:ascii="Calibri" w:eastAsia="Calibri" w:hAnsi="Calibri" w:cs="Times New Roman"/>
          <w:sz w:val="24"/>
        </w:rPr>
        <w:t xml:space="preserve">subscriptions </w:t>
      </w:r>
      <w:r>
        <w:rPr>
          <w:rFonts w:ascii="Calibri" w:eastAsia="Calibri" w:hAnsi="Calibri" w:cs="Times New Roman"/>
          <w:sz w:val="24"/>
        </w:rPr>
        <w:t>for telecoms w</w:t>
      </w:r>
      <w:r w:rsidR="001F4020">
        <w:rPr>
          <w:rFonts w:ascii="Calibri" w:eastAsia="Calibri" w:hAnsi="Calibri" w:cs="Times New Roman"/>
          <w:sz w:val="24"/>
        </w:rPr>
        <w:t xml:space="preserve">ere up </w:t>
      </w:r>
      <w:r w:rsidR="00007101">
        <w:rPr>
          <w:rFonts w:ascii="Calibri" w:eastAsia="Calibri" w:hAnsi="Calibri" w:cs="Times New Roman"/>
          <w:sz w:val="24"/>
        </w:rPr>
        <w:t>across the board</w:t>
      </w:r>
      <w:r w:rsidR="000140CB">
        <w:rPr>
          <w:rFonts w:ascii="Calibri" w:eastAsia="Calibri" w:hAnsi="Calibri" w:cs="Times New Roman"/>
          <w:sz w:val="24"/>
        </w:rPr>
        <w:t>,</w:t>
      </w:r>
      <w:r w:rsidR="00007101">
        <w:rPr>
          <w:rFonts w:ascii="Calibri" w:eastAsia="Calibri" w:hAnsi="Calibri" w:cs="Times New Roman"/>
          <w:sz w:val="24"/>
        </w:rPr>
        <w:t xml:space="preserve"> </w:t>
      </w:r>
      <w:r>
        <w:rPr>
          <w:rFonts w:ascii="Calibri" w:eastAsia="Calibri" w:hAnsi="Calibri" w:cs="Times New Roman"/>
          <w:sz w:val="24"/>
        </w:rPr>
        <w:t>boosted by d</w:t>
      </w:r>
      <w:r w:rsidR="00007101">
        <w:rPr>
          <w:rFonts w:ascii="Calibri" w:eastAsia="Calibri" w:hAnsi="Calibri" w:cs="Times New Roman"/>
          <w:sz w:val="24"/>
        </w:rPr>
        <w:t>o</w:t>
      </w:r>
      <w:r w:rsidR="00701514">
        <w:rPr>
          <w:rFonts w:ascii="Calibri" w:eastAsia="Calibri" w:hAnsi="Calibri" w:cs="Times New Roman"/>
          <w:sz w:val="24"/>
        </w:rPr>
        <w:t>mestic demand</w:t>
      </w:r>
      <w:r w:rsidR="000140CB">
        <w:rPr>
          <w:rFonts w:ascii="Calibri" w:eastAsia="Calibri" w:hAnsi="Calibri" w:cs="Times New Roman"/>
          <w:sz w:val="24"/>
        </w:rPr>
        <w:t xml:space="preserve"> compensating for </w:t>
      </w:r>
      <w:r w:rsidR="00007101">
        <w:rPr>
          <w:rFonts w:ascii="Calibri" w:eastAsia="Calibri" w:hAnsi="Calibri" w:cs="Times New Roman"/>
          <w:sz w:val="24"/>
        </w:rPr>
        <w:t>a good number of foreign workers</w:t>
      </w:r>
      <w:r w:rsidR="000140CB">
        <w:rPr>
          <w:rFonts w:ascii="Calibri" w:eastAsia="Calibri" w:hAnsi="Calibri" w:cs="Times New Roman"/>
          <w:sz w:val="24"/>
        </w:rPr>
        <w:t xml:space="preserve"> that</w:t>
      </w:r>
      <w:r w:rsidR="00007101">
        <w:rPr>
          <w:rFonts w:ascii="Calibri" w:eastAsia="Calibri" w:hAnsi="Calibri" w:cs="Times New Roman"/>
          <w:sz w:val="24"/>
        </w:rPr>
        <w:t xml:space="preserve"> returned home prior to the </w:t>
      </w:r>
      <w:r w:rsidR="00007101" w:rsidRPr="00007101">
        <w:rPr>
          <w:rFonts w:ascii="Calibri" w:eastAsia="Calibri" w:hAnsi="Calibri" w:cs="Times New Roman"/>
          <w:sz w:val="24"/>
        </w:rPr>
        <w:t>Malta airport suspe</w:t>
      </w:r>
      <w:r>
        <w:rPr>
          <w:rFonts w:ascii="Calibri" w:eastAsia="Calibri" w:hAnsi="Calibri" w:cs="Times New Roman"/>
          <w:sz w:val="24"/>
        </w:rPr>
        <w:t>nding</w:t>
      </w:r>
      <w:r w:rsidR="00007101" w:rsidRPr="00007101">
        <w:rPr>
          <w:rFonts w:ascii="Calibri" w:eastAsia="Calibri" w:hAnsi="Calibri" w:cs="Times New Roman"/>
          <w:sz w:val="24"/>
        </w:rPr>
        <w:t xml:space="preserve"> all inbound flights as of 11:59 p.m. on March 20. </w:t>
      </w:r>
    </w:p>
    <w:p w:rsidR="00DC2676" w:rsidRDefault="00AC3BAD" w:rsidP="00734CF7">
      <w:pPr>
        <w:spacing w:line="360" w:lineRule="auto"/>
        <w:jc w:val="both"/>
        <w:rPr>
          <w:rFonts w:ascii="Calibri" w:eastAsia="Calibri" w:hAnsi="Calibri" w:cs="Times New Roman"/>
          <w:sz w:val="24"/>
        </w:rPr>
      </w:pPr>
      <w:r>
        <w:rPr>
          <w:rFonts w:ascii="Calibri" w:eastAsia="Calibri" w:hAnsi="Calibri" w:cs="Times New Roman"/>
          <w:sz w:val="24"/>
        </w:rPr>
        <w:t xml:space="preserve">Year-on-year growth was strongest for fixed broadband, with subscriptions at the end of March 2020 up by 6.6% compared to 12-months earlier. </w:t>
      </w:r>
      <w:r w:rsidR="002B6987">
        <w:rPr>
          <w:rFonts w:ascii="Calibri" w:eastAsia="Calibri" w:hAnsi="Calibri" w:cs="Times New Roman"/>
          <w:sz w:val="24"/>
        </w:rPr>
        <w:t xml:space="preserve">During the same period, the pay TV segment registered a 3.3% increase in subscriptions, whilst the mobile segment recorded an increase of 3%. </w:t>
      </w:r>
      <w:r>
        <w:rPr>
          <w:rFonts w:ascii="Calibri" w:eastAsia="Calibri" w:hAnsi="Calibri" w:cs="Times New Roman"/>
          <w:sz w:val="24"/>
        </w:rPr>
        <w:t xml:space="preserve">Year-on-year </w:t>
      </w:r>
      <w:r w:rsidR="00126706">
        <w:rPr>
          <w:rFonts w:ascii="Calibri" w:eastAsia="Calibri" w:hAnsi="Calibri" w:cs="Times New Roman"/>
          <w:sz w:val="24"/>
        </w:rPr>
        <w:t xml:space="preserve">growth </w:t>
      </w:r>
      <w:r>
        <w:rPr>
          <w:rFonts w:ascii="Calibri" w:eastAsia="Calibri" w:hAnsi="Calibri" w:cs="Times New Roman"/>
          <w:sz w:val="24"/>
        </w:rPr>
        <w:t xml:space="preserve">for fixed telephony stood at </w:t>
      </w:r>
      <w:r w:rsidR="00126706">
        <w:rPr>
          <w:rFonts w:ascii="Calibri" w:eastAsia="Calibri" w:hAnsi="Calibri" w:cs="Times New Roman"/>
          <w:sz w:val="24"/>
        </w:rPr>
        <w:t>0.</w:t>
      </w:r>
      <w:r>
        <w:rPr>
          <w:rFonts w:ascii="Calibri" w:eastAsia="Calibri" w:hAnsi="Calibri" w:cs="Times New Roman"/>
          <w:sz w:val="24"/>
        </w:rPr>
        <w:t>9</w:t>
      </w:r>
      <w:r w:rsidR="00126706">
        <w:rPr>
          <w:rFonts w:ascii="Calibri" w:eastAsia="Calibri" w:hAnsi="Calibri" w:cs="Times New Roman"/>
          <w:sz w:val="24"/>
        </w:rPr>
        <w:t>%</w:t>
      </w:r>
      <w:r>
        <w:rPr>
          <w:rFonts w:ascii="Calibri" w:eastAsia="Calibri" w:hAnsi="Calibri" w:cs="Times New Roman"/>
          <w:sz w:val="24"/>
        </w:rPr>
        <w:t xml:space="preserve">. </w:t>
      </w:r>
    </w:p>
    <w:p w:rsidR="007F742B" w:rsidRDefault="00806220" w:rsidP="00734CF7">
      <w:pPr>
        <w:spacing w:line="360" w:lineRule="auto"/>
        <w:jc w:val="both"/>
        <w:rPr>
          <w:rFonts w:ascii="Calibri" w:eastAsia="Calibri" w:hAnsi="Calibri" w:cs="Times New Roman"/>
          <w:sz w:val="24"/>
        </w:rPr>
      </w:pPr>
      <w:r>
        <w:rPr>
          <w:rFonts w:ascii="Calibri" w:eastAsia="Calibri" w:hAnsi="Calibri" w:cs="Times New Roman"/>
          <w:sz w:val="24"/>
        </w:rPr>
        <w:t>All</w:t>
      </w:r>
      <w:r w:rsidR="00DC2676">
        <w:rPr>
          <w:rFonts w:ascii="Calibri" w:eastAsia="Calibri" w:hAnsi="Calibri" w:cs="Times New Roman"/>
          <w:sz w:val="24"/>
        </w:rPr>
        <w:t xml:space="preserve"> new subscriptions </w:t>
      </w:r>
      <w:r>
        <w:rPr>
          <w:rFonts w:ascii="Calibri" w:eastAsia="Calibri" w:hAnsi="Calibri" w:cs="Times New Roman"/>
          <w:sz w:val="24"/>
        </w:rPr>
        <w:t xml:space="preserve">with telecom operators were registered </w:t>
      </w:r>
      <w:r w:rsidR="00DC2676">
        <w:rPr>
          <w:rFonts w:ascii="Calibri" w:eastAsia="Calibri" w:hAnsi="Calibri" w:cs="Times New Roman"/>
          <w:sz w:val="24"/>
        </w:rPr>
        <w:t xml:space="preserve">in a bundle set-up, </w:t>
      </w:r>
      <w:r>
        <w:rPr>
          <w:rFonts w:ascii="Calibri" w:eastAsia="Calibri" w:hAnsi="Calibri" w:cs="Times New Roman"/>
          <w:sz w:val="24"/>
        </w:rPr>
        <w:t>and as a result th</w:t>
      </w:r>
      <w:r w:rsidR="00DC2676">
        <w:rPr>
          <w:rFonts w:ascii="Calibri" w:eastAsia="Calibri" w:hAnsi="Calibri" w:cs="Times New Roman"/>
          <w:sz w:val="24"/>
        </w:rPr>
        <w:t xml:space="preserve">e proportion of telecom </w:t>
      </w:r>
      <w:r>
        <w:rPr>
          <w:rFonts w:ascii="Calibri" w:eastAsia="Calibri" w:hAnsi="Calibri" w:cs="Times New Roman"/>
          <w:sz w:val="24"/>
        </w:rPr>
        <w:t>subscriptions</w:t>
      </w:r>
      <w:r w:rsidR="00DC2676">
        <w:rPr>
          <w:rFonts w:ascii="Calibri" w:eastAsia="Calibri" w:hAnsi="Calibri" w:cs="Times New Roman"/>
          <w:sz w:val="24"/>
        </w:rPr>
        <w:t xml:space="preserve"> in a bundle </w:t>
      </w:r>
      <w:r w:rsidR="00845948">
        <w:rPr>
          <w:rFonts w:ascii="Calibri" w:eastAsia="Calibri" w:hAnsi="Calibri" w:cs="Times New Roman"/>
          <w:sz w:val="24"/>
        </w:rPr>
        <w:t>edged up</w:t>
      </w:r>
      <w:r w:rsidR="00DC2676">
        <w:rPr>
          <w:rFonts w:ascii="Calibri" w:eastAsia="Calibri" w:hAnsi="Calibri" w:cs="Times New Roman"/>
          <w:sz w:val="24"/>
        </w:rPr>
        <w:t xml:space="preserve"> further during the first quarter of this year. A </w:t>
      </w:r>
      <w:r w:rsidR="00845948">
        <w:rPr>
          <w:rFonts w:ascii="Calibri" w:eastAsia="Calibri" w:hAnsi="Calibri" w:cs="Times New Roman"/>
          <w:sz w:val="24"/>
        </w:rPr>
        <w:t>significant</w:t>
      </w:r>
      <w:r w:rsidR="00DC2676">
        <w:rPr>
          <w:rFonts w:ascii="Calibri" w:eastAsia="Calibri" w:hAnsi="Calibri" w:cs="Times New Roman"/>
          <w:sz w:val="24"/>
        </w:rPr>
        <w:t xml:space="preserve"> 92% of all fixed broadband subscriptions </w:t>
      </w:r>
      <w:r>
        <w:rPr>
          <w:rFonts w:ascii="Calibri" w:eastAsia="Calibri" w:hAnsi="Calibri" w:cs="Times New Roman"/>
          <w:sz w:val="24"/>
        </w:rPr>
        <w:t xml:space="preserve">recorded at the end of March were purchased </w:t>
      </w:r>
      <w:r w:rsidR="00DC2676">
        <w:rPr>
          <w:rFonts w:ascii="Calibri" w:eastAsia="Calibri" w:hAnsi="Calibri" w:cs="Times New Roman"/>
          <w:sz w:val="24"/>
        </w:rPr>
        <w:t>in a bundle</w:t>
      </w:r>
      <w:r w:rsidR="00845948">
        <w:rPr>
          <w:rFonts w:ascii="Calibri" w:eastAsia="Calibri" w:hAnsi="Calibri" w:cs="Times New Roman"/>
          <w:sz w:val="24"/>
        </w:rPr>
        <w:t xml:space="preserve">, with two thirds of these buying two or three more services (from pay TV, fixed telephony and mobile telephony) alongside the fixed broadband service. </w:t>
      </w:r>
      <w:r w:rsidR="00DC2676">
        <w:rPr>
          <w:rFonts w:ascii="Calibri" w:eastAsia="Calibri" w:hAnsi="Calibri" w:cs="Times New Roman"/>
          <w:sz w:val="24"/>
        </w:rPr>
        <w:t xml:space="preserve">This </w:t>
      </w:r>
      <w:r w:rsidR="00DC2676" w:rsidRPr="00DC2676">
        <w:rPr>
          <w:rFonts w:ascii="Calibri" w:eastAsia="Calibri" w:hAnsi="Calibri" w:cs="Times New Roman"/>
          <w:sz w:val="24"/>
        </w:rPr>
        <w:t>br</w:t>
      </w:r>
      <w:r>
        <w:rPr>
          <w:rFonts w:ascii="Calibri" w:eastAsia="Calibri" w:hAnsi="Calibri" w:cs="Times New Roman"/>
          <w:sz w:val="24"/>
        </w:rPr>
        <w:t>ought</w:t>
      </w:r>
      <w:r w:rsidR="00DC2676" w:rsidRPr="00DC2676">
        <w:rPr>
          <w:rFonts w:ascii="Calibri" w:eastAsia="Calibri" w:hAnsi="Calibri" w:cs="Times New Roman"/>
          <w:sz w:val="24"/>
        </w:rPr>
        <w:t xml:space="preserve"> in more money </w:t>
      </w:r>
      <w:r w:rsidR="00141777">
        <w:rPr>
          <w:rFonts w:ascii="Calibri" w:eastAsia="Calibri" w:hAnsi="Calibri" w:cs="Times New Roman"/>
          <w:sz w:val="24"/>
        </w:rPr>
        <w:t>to telecom operators and</w:t>
      </w:r>
      <w:r>
        <w:rPr>
          <w:rFonts w:ascii="Calibri" w:eastAsia="Calibri" w:hAnsi="Calibri" w:cs="Times New Roman"/>
          <w:sz w:val="24"/>
        </w:rPr>
        <w:t xml:space="preserve"> served to</w:t>
      </w:r>
      <w:r w:rsidR="00141777">
        <w:rPr>
          <w:rFonts w:ascii="Calibri" w:eastAsia="Calibri" w:hAnsi="Calibri" w:cs="Times New Roman"/>
          <w:sz w:val="24"/>
        </w:rPr>
        <w:t xml:space="preserve"> increase end-user loyalty. </w:t>
      </w:r>
    </w:p>
    <w:p w:rsidR="00EF2AD1" w:rsidRDefault="00420125" w:rsidP="00420125">
      <w:pPr>
        <w:spacing w:line="360" w:lineRule="auto"/>
        <w:jc w:val="both"/>
        <w:rPr>
          <w:rFonts w:ascii="Calibri" w:eastAsia="Calibri" w:hAnsi="Calibri" w:cs="Times New Roman"/>
          <w:sz w:val="24"/>
        </w:rPr>
      </w:pPr>
      <w:r>
        <w:rPr>
          <w:rFonts w:ascii="Calibri" w:eastAsia="Calibri" w:hAnsi="Calibri" w:cs="Times New Roman"/>
          <w:sz w:val="24"/>
        </w:rPr>
        <w:t xml:space="preserve">As for the postal segment, </w:t>
      </w:r>
      <w:r w:rsidR="00806220">
        <w:rPr>
          <w:rFonts w:ascii="Calibri" w:eastAsia="Calibri" w:hAnsi="Calibri" w:cs="Times New Roman"/>
          <w:sz w:val="24"/>
        </w:rPr>
        <w:t xml:space="preserve">mail activity </w:t>
      </w:r>
      <w:r>
        <w:rPr>
          <w:rFonts w:ascii="Calibri" w:eastAsia="Calibri" w:hAnsi="Calibri" w:cs="Times New Roman"/>
          <w:sz w:val="24"/>
        </w:rPr>
        <w:t>during the first quarter of this year</w:t>
      </w:r>
      <w:r w:rsidR="00D56A44">
        <w:rPr>
          <w:rFonts w:ascii="Calibri" w:eastAsia="Calibri" w:hAnsi="Calibri" w:cs="Times New Roman"/>
          <w:sz w:val="24"/>
        </w:rPr>
        <w:t xml:space="preserve"> was slightly down compared to the same period a year earlier</w:t>
      </w:r>
      <w:r>
        <w:rPr>
          <w:rFonts w:ascii="Calibri" w:eastAsia="Calibri" w:hAnsi="Calibri" w:cs="Times New Roman"/>
          <w:sz w:val="24"/>
        </w:rPr>
        <w:t xml:space="preserve">, with </w:t>
      </w:r>
      <w:r w:rsidR="00D56A44">
        <w:rPr>
          <w:rFonts w:ascii="Calibri" w:eastAsia="Calibri" w:hAnsi="Calibri" w:cs="Times New Roman"/>
          <w:sz w:val="24"/>
        </w:rPr>
        <w:t xml:space="preserve">postal </w:t>
      </w:r>
      <w:r>
        <w:rPr>
          <w:rFonts w:ascii="Calibri" w:eastAsia="Calibri" w:hAnsi="Calibri" w:cs="Times New Roman"/>
          <w:sz w:val="24"/>
        </w:rPr>
        <w:t>mail volumes down by 0.4%</w:t>
      </w:r>
      <w:r w:rsidR="00806220">
        <w:rPr>
          <w:rFonts w:ascii="Calibri" w:eastAsia="Calibri" w:hAnsi="Calibri" w:cs="Times New Roman"/>
          <w:sz w:val="24"/>
        </w:rPr>
        <w:t>, pretty much in line with long term market developments</w:t>
      </w:r>
      <w:r>
        <w:rPr>
          <w:rFonts w:ascii="Calibri" w:eastAsia="Calibri" w:hAnsi="Calibri" w:cs="Times New Roman"/>
          <w:sz w:val="24"/>
        </w:rPr>
        <w:t>.</w:t>
      </w:r>
    </w:p>
    <w:p w:rsidR="00EF2AD1" w:rsidRDefault="002F5BA8" w:rsidP="00734CF7">
      <w:pPr>
        <w:spacing w:line="360" w:lineRule="auto"/>
        <w:jc w:val="both"/>
        <w:rPr>
          <w:rFonts w:ascii="Calibri" w:eastAsia="Calibri" w:hAnsi="Calibri" w:cs="Times New Roman"/>
          <w:sz w:val="24"/>
        </w:rPr>
      </w:pPr>
      <w:r>
        <w:rPr>
          <w:rFonts w:ascii="Calibri" w:eastAsia="Calibri" w:hAnsi="Calibri" w:cs="Times New Roman"/>
          <w:sz w:val="24"/>
        </w:rPr>
        <w:lastRenderedPageBreak/>
        <w:t xml:space="preserve">More insights for the telecoms and postal segments are </w:t>
      </w:r>
      <w:r w:rsidR="00306CD5">
        <w:rPr>
          <w:rFonts w:ascii="Calibri" w:eastAsia="Calibri" w:hAnsi="Calibri" w:cs="Times New Roman"/>
          <w:sz w:val="24"/>
        </w:rPr>
        <w:t xml:space="preserve">provided below. </w:t>
      </w:r>
    </w:p>
    <w:p w:rsidR="00306CD5" w:rsidRDefault="00306CD5" w:rsidP="00734CF7">
      <w:pPr>
        <w:spacing w:line="360" w:lineRule="auto"/>
        <w:jc w:val="both"/>
        <w:rPr>
          <w:rFonts w:ascii="Calibri" w:eastAsia="Calibri" w:hAnsi="Calibri" w:cs="Times New Roman"/>
          <w:b/>
          <w:sz w:val="24"/>
        </w:rPr>
      </w:pPr>
      <w:r w:rsidRPr="00306CD5">
        <w:rPr>
          <w:rFonts w:ascii="Calibri" w:eastAsia="Calibri" w:hAnsi="Calibri" w:cs="Times New Roman"/>
          <w:b/>
          <w:sz w:val="24"/>
        </w:rPr>
        <w:t xml:space="preserve">Fixed Broadband </w:t>
      </w:r>
    </w:p>
    <w:p w:rsidR="001B1B4E" w:rsidRDefault="001B1B4E" w:rsidP="00734CF7">
      <w:pPr>
        <w:spacing w:line="360" w:lineRule="auto"/>
        <w:jc w:val="both"/>
        <w:rPr>
          <w:rFonts w:ascii="Calibri" w:eastAsia="Calibri" w:hAnsi="Calibri" w:cs="Times New Roman"/>
          <w:sz w:val="24"/>
        </w:rPr>
      </w:pPr>
      <w:r>
        <w:rPr>
          <w:rFonts w:ascii="Calibri" w:eastAsia="Calibri" w:hAnsi="Calibri" w:cs="Times New Roman"/>
          <w:sz w:val="24"/>
        </w:rPr>
        <w:t>A total of 206,316 fixed broadband subscriptions were recorded</w:t>
      </w:r>
      <w:r w:rsidR="00631FB1">
        <w:rPr>
          <w:rFonts w:ascii="Calibri" w:eastAsia="Calibri" w:hAnsi="Calibri" w:cs="Times New Roman"/>
          <w:sz w:val="24"/>
        </w:rPr>
        <w:t xml:space="preserve"> as of 31 March 2020</w:t>
      </w:r>
      <w:r w:rsidR="006B71AA" w:rsidRPr="006B71AA">
        <w:rPr>
          <w:rFonts w:ascii="Calibri" w:eastAsia="Calibri" w:hAnsi="Calibri" w:cs="Times New Roman"/>
          <w:sz w:val="24"/>
        </w:rPr>
        <w:t xml:space="preserve">, which is </w:t>
      </w:r>
      <w:r>
        <w:rPr>
          <w:rFonts w:ascii="Calibri" w:eastAsia="Calibri" w:hAnsi="Calibri" w:cs="Times New Roman"/>
          <w:sz w:val="24"/>
        </w:rPr>
        <w:t>13,000</w:t>
      </w:r>
      <w:r w:rsidR="006B71AA" w:rsidRPr="006B71AA">
        <w:rPr>
          <w:rFonts w:ascii="Calibri" w:eastAsia="Calibri" w:hAnsi="Calibri" w:cs="Times New Roman"/>
          <w:sz w:val="24"/>
        </w:rPr>
        <w:t xml:space="preserve"> than the year before.</w:t>
      </w:r>
      <w:r>
        <w:rPr>
          <w:rFonts w:ascii="Calibri" w:eastAsia="Calibri" w:hAnsi="Calibri" w:cs="Times New Roman"/>
          <w:sz w:val="24"/>
        </w:rPr>
        <w:t xml:space="preserve"> </w:t>
      </w:r>
      <w:r w:rsidR="0089306F">
        <w:rPr>
          <w:rFonts w:ascii="Calibri" w:eastAsia="Calibri" w:hAnsi="Calibri" w:cs="Times New Roman"/>
          <w:sz w:val="24"/>
        </w:rPr>
        <w:t xml:space="preserve">This </w:t>
      </w:r>
      <w:r>
        <w:rPr>
          <w:rFonts w:ascii="Calibri" w:eastAsia="Calibri" w:hAnsi="Calibri" w:cs="Times New Roman"/>
          <w:sz w:val="24"/>
        </w:rPr>
        <w:t xml:space="preserve">translates into </w:t>
      </w:r>
      <w:r w:rsidR="0089306F">
        <w:rPr>
          <w:rFonts w:ascii="Calibri" w:eastAsia="Calibri" w:hAnsi="Calibri" w:cs="Times New Roman"/>
          <w:sz w:val="24"/>
        </w:rPr>
        <w:t>a</w:t>
      </w:r>
      <w:r w:rsidR="00471661">
        <w:rPr>
          <w:rFonts w:ascii="Calibri" w:eastAsia="Calibri" w:hAnsi="Calibri" w:cs="Times New Roman"/>
          <w:sz w:val="24"/>
        </w:rPr>
        <w:t xml:space="preserve"> </w:t>
      </w:r>
      <w:r w:rsidR="0089306F">
        <w:rPr>
          <w:rFonts w:ascii="Calibri" w:eastAsia="Calibri" w:hAnsi="Calibri" w:cs="Times New Roman"/>
          <w:sz w:val="24"/>
        </w:rPr>
        <w:t>6</w:t>
      </w:r>
      <w:r w:rsidR="00471661">
        <w:rPr>
          <w:rFonts w:ascii="Calibri" w:eastAsia="Calibri" w:hAnsi="Calibri" w:cs="Times New Roman"/>
          <w:sz w:val="24"/>
        </w:rPr>
        <w:t xml:space="preserve">.6% </w:t>
      </w:r>
      <w:r>
        <w:rPr>
          <w:rFonts w:ascii="Calibri" w:eastAsia="Calibri" w:hAnsi="Calibri" w:cs="Times New Roman"/>
          <w:sz w:val="24"/>
        </w:rPr>
        <w:t xml:space="preserve">rise </w:t>
      </w:r>
      <w:r w:rsidR="00471661">
        <w:rPr>
          <w:rFonts w:ascii="Calibri" w:eastAsia="Calibri" w:hAnsi="Calibri" w:cs="Times New Roman"/>
          <w:sz w:val="24"/>
        </w:rPr>
        <w:t xml:space="preserve">in </w:t>
      </w:r>
      <w:r>
        <w:rPr>
          <w:rFonts w:ascii="Calibri" w:eastAsia="Calibri" w:hAnsi="Calibri" w:cs="Times New Roman"/>
          <w:sz w:val="24"/>
        </w:rPr>
        <w:t xml:space="preserve">fixed broadband </w:t>
      </w:r>
      <w:r w:rsidR="00471661">
        <w:rPr>
          <w:rFonts w:ascii="Calibri" w:eastAsia="Calibri" w:hAnsi="Calibri" w:cs="Times New Roman"/>
          <w:sz w:val="24"/>
        </w:rPr>
        <w:t>subscriptions</w:t>
      </w:r>
      <w:r w:rsidR="0089306F">
        <w:rPr>
          <w:rFonts w:ascii="Calibri" w:eastAsia="Calibri" w:hAnsi="Calibri" w:cs="Times New Roman"/>
          <w:sz w:val="24"/>
        </w:rPr>
        <w:t xml:space="preserve"> in the 12-month period end</w:t>
      </w:r>
      <w:r>
        <w:rPr>
          <w:rFonts w:ascii="Calibri" w:eastAsia="Calibri" w:hAnsi="Calibri" w:cs="Times New Roman"/>
          <w:sz w:val="24"/>
        </w:rPr>
        <w:t>ing</w:t>
      </w:r>
      <w:r w:rsidR="0089306F">
        <w:rPr>
          <w:rFonts w:ascii="Calibri" w:eastAsia="Calibri" w:hAnsi="Calibri" w:cs="Times New Roman"/>
          <w:sz w:val="24"/>
        </w:rPr>
        <w:t xml:space="preserve"> </w:t>
      </w:r>
      <w:r>
        <w:rPr>
          <w:rFonts w:ascii="Calibri" w:eastAsia="Calibri" w:hAnsi="Calibri" w:cs="Times New Roman"/>
          <w:sz w:val="24"/>
        </w:rPr>
        <w:t xml:space="preserve">last </w:t>
      </w:r>
      <w:r w:rsidR="0089306F">
        <w:rPr>
          <w:rFonts w:ascii="Calibri" w:eastAsia="Calibri" w:hAnsi="Calibri" w:cs="Times New Roman"/>
          <w:sz w:val="24"/>
        </w:rPr>
        <w:t xml:space="preserve">March. </w:t>
      </w:r>
    </w:p>
    <w:p w:rsidR="00471661" w:rsidRDefault="006B71AA" w:rsidP="00734CF7">
      <w:pPr>
        <w:spacing w:line="360" w:lineRule="auto"/>
        <w:jc w:val="both"/>
        <w:rPr>
          <w:rFonts w:ascii="Calibri" w:eastAsia="Calibri" w:hAnsi="Calibri" w:cs="Times New Roman"/>
          <w:sz w:val="24"/>
        </w:rPr>
      </w:pPr>
      <w:r>
        <w:rPr>
          <w:rFonts w:ascii="Calibri" w:eastAsia="Calibri" w:hAnsi="Calibri" w:cs="Times New Roman"/>
          <w:sz w:val="24"/>
        </w:rPr>
        <w:t xml:space="preserve">The results for the quarter under review confirm the ongoing increase in FTTH subscriptions (up by 29% year-on-year), cable DOCSIS subscriptions (up by almost 7% year-on-year) and fixed wireless subscriptions (up by 26% year-on-year). </w:t>
      </w:r>
      <w:r w:rsidR="001B1B4E">
        <w:rPr>
          <w:rFonts w:ascii="Calibri" w:eastAsia="Calibri" w:hAnsi="Calibri" w:cs="Times New Roman"/>
          <w:sz w:val="24"/>
        </w:rPr>
        <w:t xml:space="preserve">For the proper context, </w:t>
      </w:r>
      <w:r w:rsidR="00C96CAB">
        <w:rPr>
          <w:rFonts w:ascii="Calibri" w:eastAsia="Calibri" w:hAnsi="Calibri" w:cs="Times New Roman"/>
          <w:sz w:val="24"/>
        </w:rPr>
        <w:t>GO’s</w:t>
      </w:r>
      <w:r w:rsidR="001B1B4E">
        <w:rPr>
          <w:rFonts w:ascii="Calibri" w:eastAsia="Calibri" w:hAnsi="Calibri" w:cs="Times New Roman"/>
          <w:sz w:val="24"/>
        </w:rPr>
        <w:t xml:space="preserve"> FTTH network </w:t>
      </w:r>
      <w:r w:rsidR="00631FB1">
        <w:rPr>
          <w:rFonts w:ascii="Calibri" w:eastAsia="Calibri" w:hAnsi="Calibri" w:cs="Times New Roman"/>
          <w:sz w:val="24"/>
        </w:rPr>
        <w:t xml:space="preserve">reach </w:t>
      </w:r>
      <w:r w:rsidR="001B1B4E">
        <w:rPr>
          <w:rFonts w:ascii="Calibri" w:eastAsia="Calibri" w:hAnsi="Calibri" w:cs="Times New Roman"/>
          <w:sz w:val="24"/>
        </w:rPr>
        <w:t xml:space="preserve">currently stands at 42% of homes and dwellings in Malta, which means that </w:t>
      </w:r>
      <w:r w:rsidR="00C96CAB">
        <w:rPr>
          <w:rFonts w:ascii="Calibri" w:eastAsia="Calibri" w:hAnsi="Calibri" w:cs="Times New Roman"/>
          <w:sz w:val="24"/>
        </w:rPr>
        <w:t xml:space="preserve">take-up of </w:t>
      </w:r>
      <w:r w:rsidR="001B1B4E">
        <w:rPr>
          <w:rFonts w:ascii="Calibri" w:eastAsia="Calibri" w:hAnsi="Calibri" w:cs="Times New Roman"/>
          <w:sz w:val="24"/>
        </w:rPr>
        <w:t xml:space="preserve">FTTH </w:t>
      </w:r>
      <w:r w:rsidR="00631FB1">
        <w:rPr>
          <w:rFonts w:ascii="Calibri" w:eastAsia="Calibri" w:hAnsi="Calibri" w:cs="Times New Roman"/>
          <w:sz w:val="24"/>
        </w:rPr>
        <w:t>cannot effectively match</w:t>
      </w:r>
      <w:r w:rsidR="001B1B4E">
        <w:rPr>
          <w:rFonts w:ascii="Calibri" w:eastAsia="Calibri" w:hAnsi="Calibri" w:cs="Times New Roman"/>
          <w:sz w:val="24"/>
        </w:rPr>
        <w:t xml:space="preserve"> its full potential</w:t>
      </w:r>
      <w:r w:rsidR="00C96CAB">
        <w:rPr>
          <w:rFonts w:ascii="Calibri" w:eastAsia="Calibri" w:hAnsi="Calibri" w:cs="Times New Roman"/>
          <w:sz w:val="24"/>
        </w:rPr>
        <w:t xml:space="preserve">. Nonetheless, the rise in </w:t>
      </w:r>
      <w:r w:rsidR="00631FB1">
        <w:rPr>
          <w:rFonts w:ascii="Calibri" w:eastAsia="Calibri" w:hAnsi="Calibri" w:cs="Times New Roman"/>
          <w:sz w:val="24"/>
        </w:rPr>
        <w:t xml:space="preserve">the number of </w:t>
      </w:r>
      <w:r w:rsidR="00C96CAB">
        <w:rPr>
          <w:rFonts w:ascii="Calibri" w:eastAsia="Calibri" w:hAnsi="Calibri" w:cs="Times New Roman"/>
          <w:sz w:val="24"/>
        </w:rPr>
        <w:t xml:space="preserve">FTTH subscriptions </w:t>
      </w:r>
      <w:r w:rsidR="00631FB1">
        <w:rPr>
          <w:rFonts w:ascii="Calibri" w:eastAsia="Calibri" w:hAnsi="Calibri" w:cs="Times New Roman"/>
          <w:sz w:val="24"/>
        </w:rPr>
        <w:t>was bigger</w:t>
      </w:r>
      <w:r w:rsidR="00C96CAB">
        <w:rPr>
          <w:rFonts w:ascii="Calibri" w:eastAsia="Calibri" w:hAnsi="Calibri" w:cs="Times New Roman"/>
          <w:sz w:val="24"/>
        </w:rPr>
        <w:t xml:space="preserve"> than the </w:t>
      </w:r>
      <w:r w:rsidR="00631FB1">
        <w:rPr>
          <w:rFonts w:ascii="Calibri" w:eastAsia="Calibri" w:hAnsi="Calibri" w:cs="Times New Roman"/>
          <w:sz w:val="24"/>
        </w:rPr>
        <w:t xml:space="preserve">number of end-users </w:t>
      </w:r>
      <w:r w:rsidR="00C96CAB">
        <w:rPr>
          <w:rFonts w:ascii="Calibri" w:eastAsia="Calibri" w:hAnsi="Calibri" w:cs="Times New Roman"/>
          <w:sz w:val="24"/>
        </w:rPr>
        <w:t>migrati</w:t>
      </w:r>
      <w:r w:rsidR="00631FB1">
        <w:rPr>
          <w:rFonts w:ascii="Calibri" w:eastAsia="Calibri" w:hAnsi="Calibri" w:cs="Times New Roman"/>
          <w:sz w:val="24"/>
        </w:rPr>
        <w:t>ng</w:t>
      </w:r>
      <w:r w:rsidR="00C96CAB">
        <w:rPr>
          <w:rFonts w:ascii="Calibri" w:eastAsia="Calibri" w:hAnsi="Calibri" w:cs="Times New Roman"/>
          <w:sz w:val="24"/>
        </w:rPr>
        <w:t xml:space="preserve"> from copper DSL subscriptions</w:t>
      </w:r>
      <w:r w:rsidR="00631FB1">
        <w:rPr>
          <w:rFonts w:ascii="Calibri" w:eastAsia="Calibri" w:hAnsi="Calibri" w:cs="Times New Roman"/>
          <w:sz w:val="24"/>
        </w:rPr>
        <w:t xml:space="preserve">. </w:t>
      </w:r>
      <w:r w:rsidR="00C96CAB">
        <w:rPr>
          <w:rFonts w:ascii="Calibri" w:eastAsia="Calibri" w:hAnsi="Calibri" w:cs="Times New Roman"/>
          <w:sz w:val="24"/>
        </w:rPr>
        <w:t xml:space="preserve"> Of note is that the </w:t>
      </w:r>
      <w:r w:rsidR="00734CF7">
        <w:rPr>
          <w:rFonts w:ascii="Calibri" w:eastAsia="Calibri" w:hAnsi="Calibri" w:cs="Times New Roman"/>
          <w:sz w:val="24"/>
        </w:rPr>
        <w:t>number of DSL subscriptions f</w:t>
      </w:r>
      <w:r w:rsidR="00C96CAB">
        <w:rPr>
          <w:rFonts w:ascii="Calibri" w:eastAsia="Calibri" w:hAnsi="Calibri" w:cs="Times New Roman"/>
          <w:sz w:val="24"/>
        </w:rPr>
        <w:t>ell</w:t>
      </w:r>
      <w:r w:rsidR="00734CF7">
        <w:rPr>
          <w:rFonts w:ascii="Calibri" w:eastAsia="Calibri" w:hAnsi="Calibri" w:cs="Times New Roman"/>
          <w:sz w:val="24"/>
        </w:rPr>
        <w:t xml:space="preserve"> by 4.</w:t>
      </w:r>
      <w:r w:rsidR="00C96CAB">
        <w:rPr>
          <w:rFonts w:ascii="Calibri" w:eastAsia="Calibri" w:hAnsi="Calibri" w:cs="Times New Roman"/>
          <w:sz w:val="24"/>
        </w:rPr>
        <w:t>3</w:t>
      </w:r>
      <w:r w:rsidR="00734CF7">
        <w:rPr>
          <w:rFonts w:ascii="Calibri" w:eastAsia="Calibri" w:hAnsi="Calibri" w:cs="Times New Roman"/>
          <w:sz w:val="24"/>
        </w:rPr>
        <w:t xml:space="preserve">% year-on-year. </w:t>
      </w:r>
    </w:p>
    <w:p w:rsidR="00F13230" w:rsidRDefault="00631FB1" w:rsidP="00F02970">
      <w:pPr>
        <w:spacing w:line="360" w:lineRule="auto"/>
        <w:jc w:val="both"/>
        <w:rPr>
          <w:rFonts w:ascii="Calibri" w:eastAsia="Calibri" w:hAnsi="Calibri" w:cs="Times New Roman"/>
          <w:sz w:val="24"/>
        </w:rPr>
      </w:pPr>
      <w:r>
        <w:rPr>
          <w:rFonts w:ascii="Calibri" w:eastAsia="Calibri" w:hAnsi="Calibri" w:cs="Times New Roman"/>
          <w:sz w:val="24"/>
        </w:rPr>
        <w:t>G</w:t>
      </w:r>
      <w:r w:rsidR="00C96CAB" w:rsidRPr="00C96CAB">
        <w:rPr>
          <w:rFonts w:ascii="Calibri" w:eastAsia="Calibri" w:hAnsi="Calibri" w:cs="Times New Roman"/>
          <w:sz w:val="24"/>
        </w:rPr>
        <w:t xml:space="preserve">rowth </w:t>
      </w:r>
      <w:r w:rsidR="00C96CAB">
        <w:rPr>
          <w:rFonts w:ascii="Calibri" w:eastAsia="Calibri" w:hAnsi="Calibri" w:cs="Times New Roman"/>
          <w:sz w:val="24"/>
        </w:rPr>
        <w:t xml:space="preserve">in fixed broadband subscriber base </w:t>
      </w:r>
      <w:r w:rsidR="00C96CAB" w:rsidRPr="00C96CAB">
        <w:rPr>
          <w:rFonts w:ascii="Calibri" w:eastAsia="Calibri" w:hAnsi="Calibri" w:cs="Times New Roman"/>
          <w:sz w:val="24"/>
        </w:rPr>
        <w:t>is due to an increase in the number of subscriptions</w:t>
      </w:r>
      <w:r w:rsidR="00C96CAB">
        <w:rPr>
          <w:rFonts w:ascii="Calibri" w:eastAsia="Calibri" w:hAnsi="Calibri" w:cs="Times New Roman"/>
          <w:sz w:val="24"/>
        </w:rPr>
        <w:t xml:space="preserve"> supporting </w:t>
      </w:r>
      <w:r w:rsidR="00734CF7">
        <w:rPr>
          <w:rFonts w:ascii="Calibri" w:eastAsia="Calibri" w:hAnsi="Calibri" w:cs="Times New Roman"/>
          <w:sz w:val="24"/>
        </w:rPr>
        <w:t>ultra-fast speeds. Year-on-year, the proportion of fixed broadband subscriptions supporting a download speed of 100Mbps or more was up by 1</w:t>
      </w:r>
      <w:r w:rsidR="00C96CAB">
        <w:rPr>
          <w:rFonts w:ascii="Calibri" w:eastAsia="Calibri" w:hAnsi="Calibri" w:cs="Times New Roman"/>
          <w:sz w:val="24"/>
        </w:rPr>
        <w:t>0</w:t>
      </w:r>
      <w:r w:rsidR="00734CF7">
        <w:rPr>
          <w:rFonts w:ascii="Calibri" w:eastAsia="Calibri" w:hAnsi="Calibri" w:cs="Times New Roman"/>
          <w:sz w:val="24"/>
        </w:rPr>
        <w:t xml:space="preserve"> percentage points, from 3</w:t>
      </w:r>
      <w:r w:rsidR="00C96CAB">
        <w:rPr>
          <w:rFonts w:ascii="Calibri" w:eastAsia="Calibri" w:hAnsi="Calibri" w:cs="Times New Roman"/>
          <w:sz w:val="24"/>
        </w:rPr>
        <w:t>7</w:t>
      </w:r>
      <w:r w:rsidR="00734CF7">
        <w:rPr>
          <w:rFonts w:ascii="Calibri" w:eastAsia="Calibri" w:hAnsi="Calibri" w:cs="Times New Roman"/>
          <w:sz w:val="24"/>
        </w:rPr>
        <w:t xml:space="preserve">% at the end of </w:t>
      </w:r>
      <w:r w:rsidR="00C96CAB">
        <w:rPr>
          <w:rFonts w:ascii="Calibri" w:eastAsia="Calibri" w:hAnsi="Calibri" w:cs="Times New Roman"/>
          <w:sz w:val="24"/>
        </w:rPr>
        <w:t xml:space="preserve">March </w:t>
      </w:r>
      <w:r w:rsidR="00734CF7">
        <w:rPr>
          <w:rFonts w:ascii="Calibri" w:eastAsia="Calibri" w:hAnsi="Calibri" w:cs="Times New Roman"/>
          <w:sz w:val="24"/>
        </w:rPr>
        <w:t>201</w:t>
      </w:r>
      <w:r w:rsidR="00C96CAB">
        <w:rPr>
          <w:rFonts w:ascii="Calibri" w:eastAsia="Calibri" w:hAnsi="Calibri" w:cs="Times New Roman"/>
          <w:sz w:val="24"/>
        </w:rPr>
        <w:t>9</w:t>
      </w:r>
      <w:r w:rsidR="00734CF7">
        <w:rPr>
          <w:rFonts w:ascii="Calibri" w:eastAsia="Calibri" w:hAnsi="Calibri" w:cs="Times New Roman"/>
          <w:sz w:val="24"/>
        </w:rPr>
        <w:t xml:space="preserve"> to 4</w:t>
      </w:r>
      <w:r w:rsidR="00C96CAB">
        <w:rPr>
          <w:rFonts w:ascii="Calibri" w:eastAsia="Calibri" w:hAnsi="Calibri" w:cs="Times New Roman"/>
          <w:sz w:val="24"/>
        </w:rPr>
        <w:t>8</w:t>
      </w:r>
      <w:r w:rsidR="00734CF7">
        <w:rPr>
          <w:rFonts w:ascii="Calibri" w:eastAsia="Calibri" w:hAnsi="Calibri" w:cs="Times New Roman"/>
          <w:sz w:val="24"/>
        </w:rPr>
        <w:t xml:space="preserve">% at the end of </w:t>
      </w:r>
      <w:r w:rsidR="00C96CAB">
        <w:rPr>
          <w:rFonts w:ascii="Calibri" w:eastAsia="Calibri" w:hAnsi="Calibri" w:cs="Times New Roman"/>
          <w:sz w:val="24"/>
        </w:rPr>
        <w:t xml:space="preserve">March </w:t>
      </w:r>
      <w:r w:rsidR="00734CF7">
        <w:rPr>
          <w:rFonts w:ascii="Calibri" w:eastAsia="Calibri" w:hAnsi="Calibri" w:cs="Times New Roman"/>
          <w:sz w:val="24"/>
        </w:rPr>
        <w:t>20</w:t>
      </w:r>
      <w:r w:rsidR="00C96CAB">
        <w:rPr>
          <w:rFonts w:ascii="Calibri" w:eastAsia="Calibri" w:hAnsi="Calibri" w:cs="Times New Roman"/>
          <w:sz w:val="24"/>
        </w:rPr>
        <w:t>20</w:t>
      </w:r>
      <w:r w:rsidR="00734CF7">
        <w:rPr>
          <w:rFonts w:ascii="Calibri" w:eastAsia="Calibri" w:hAnsi="Calibri" w:cs="Times New Roman"/>
          <w:sz w:val="24"/>
        </w:rPr>
        <w:t>.</w:t>
      </w:r>
    </w:p>
    <w:p w:rsidR="00F3755F" w:rsidRDefault="009C068D" w:rsidP="00A5136C">
      <w:pPr>
        <w:spacing w:line="360" w:lineRule="auto"/>
        <w:jc w:val="both"/>
        <w:rPr>
          <w:rFonts w:ascii="Calibri" w:eastAsia="Calibri" w:hAnsi="Calibri" w:cs="Times New Roman"/>
          <w:sz w:val="24"/>
        </w:rPr>
      </w:pPr>
      <w:r>
        <w:rPr>
          <w:rFonts w:ascii="Calibri" w:eastAsia="Calibri" w:hAnsi="Calibri" w:cs="Times New Roman"/>
          <w:sz w:val="24"/>
        </w:rPr>
        <w:t xml:space="preserve">Contrary however to trends observed quarter-on-quarter for the past years, ARPU for the first quarter of 2020 was lower than the </w:t>
      </w:r>
      <w:r w:rsidR="00A5136C" w:rsidRPr="00A5136C">
        <w:rPr>
          <w:rFonts w:ascii="Calibri" w:eastAsia="Calibri" w:hAnsi="Calibri" w:cs="Times New Roman"/>
          <w:sz w:val="24"/>
        </w:rPr>
        <w:t xml:space="preserve">ARPU </w:t>
      </w:r>
      <w:r>
        <w:rPr>
          <w:rFonts w:ascii="Calibri" w:eastAsia="Calibri" w:hAnsi="Calibri" w:cs="Times New Roman"/>
          <w:sz w:val="24"/>
        </w:rPr>
        <w:t xml:space="preserve">for the first quarter of 2019. </w:t>
      </w:r>
      <w:r w:rsidR="00A5136C">
        <w:rPr>
          <w:rFonts w:ascii="Calibri" w:eastAsia="Calibri" w:hAnsi="Calibri" w:cs="Times New Roman"/>
          <w:sz w:val="24"/>
        </w:rPr>
        <w:t>Fixed broadband ARPU</w:t>
      </w:r>
      <w:r>
        <w:rPr>
          <w:rFonts w:ascii="Calibri" w:eastAsia="Calibri" w:hAnsi="Calibri" w:cs="Times New Roman"/>
          <w:sz w:val="24"/>
        </w:rPr>
        <w:t xml:space="preserve"> in the first quarter of 2020 stood at €57.44, down from €60.36 </w:t>
      </w:r>
      <w:r w:rsidR="00F02970">
        <w:rPr>
          <w:rFonts w:ascii="Calibri" w:eastAsia="Calibri" w:hAnsi="Calibri" w:cs="Times New Roman"/>
          <w:sz w:val="24"/>
        </w:rPr>
        <w:t xml:space="preserve">in </w:t>
      </w:r>
      <w:r>
        <w:rPr>
          <w:rFonts w:ascii="Calibri" w:eastAsia="Calibri" w:hAnsi="Calibri" w:cs="Times New Roman"/>
          <w:sz w:val="24"/>
        </w:rPr>
        <w:t>the first quarter l</w:t>
      </w:r>
      <w:r w:rsidR="00A5136C">
        <w:rPr>
          <w:rFonts w:ascii="Calibri" w:eastAsia="Calibri" w:hAnsi="Calibri" w:cs="Times New Roman"/>
          <w:sz w:val="24"/>
        </w:rPr>
        <w:t>ast</w:t>
      </w:r>
      <w:r w:rsidR="00F02970">
        <w:rPr>
          <w:rFonts w:ascii="Calibri" w:eastAsia="Calibri" w:hAnsi="Calibri" w:cs="Times New Roman"/>
          <w:sz w:val="24"/>
        </w:rPr>
        <w:t xml:space="preserve"> year.</w:t>
      </w:r>
      <w:r w:rsidR="00F3755F">
        <w:rPr>
          <w:rFonts w:ascii="Calibri" w:eastAsia="Calibri" w:hAnsi="Calibri" w:cs="Times New Roman"/>
          <w:sz w:val="24"/>
        </w:rPr>
        <w:t xml:space="preserve"> </w:t>
      </w:r>
    </w:p>
    <w:p w:rsidR="003F5D27" w:rsidRDefault="003F5D27" w:rsidP="00B90341">
      <w:pPr>
        <w:spacing w:line="360" w:lineRule="auto"/>
        <w:rPr>
          <w:rFonts w:ascii="Calibri" w:eastAsia="Calibri" w:hAnsi="Calibri" w:cs="Times New Roman"/>
          <w:b/>
          <w:sz w:val="24"/>
        </w:rPr>
      </w:pPr>
      <w:r w:rsidRPr="003F5D27">
        <w:rPr>
          <w:rFonts w:ascii="Calibri" w:eastAsia="Calibri" w:hAnsi="Calibri" w:cs="Times New Roman"/>
          <w:b/>
          <w:sz w:val="24"/>
        </w:rPr>
        <w:t xml:space="preserve">Mobile telephony </w:t>
      </w:r>
    </w:p>
    <w:p w:rsidR="003F5D27" w:rsidRDefault="0071260F" w:rsidP="00683148">
      <w:pPr>
        <w:spacing w:line="360" w:lineRule="auto"/>
        <w:jc w:val="both"/>
        <w:rPr>
          <w:rFonts w:ascii="Calibri" w:eastAsia="Calibri" w:hAnsi="Calibri" w:cs="Times New Roman"/>
          <w:sz w:val="24"/>
        </w:rPr>
      </w:pPr>
      <w:r>
        <w:rPr>
          <w:rFonts w:ascii="Calibri" w:eastAsia="Calibri" w:hAnsi="Calibri" w:cs="Times New Roman"/>
          <w:sz w:val="24"/>
        </w:rPr>
        <w:t>With mobility restrictions for large parts of the population coming into force by mid-March, take-up of mobile</w:t>
      </w:r>
      <w:r w:rsidR="002652E5">
        <w:rPr>
          <w:rFonts w:ascii="Calibri" w:eastAsia="Calibri" w:hAnsi="Calibri" w:cs="Times New Roman"/>
          <w:sz w:val="24"/>
        </w:rPr>
        <w:t xml:space="preserve"> telephony</w:t>
      </w:r>
      <w:r>
        <w:rPr>
          <w:rFonts w:ascii="Calibri" w:eastAsia="Calibri" w:hAnsi="Calibri" w:cs="Times New Roman"/>
          <w:sz w:val="24"/>
        </w:rPr>
        <w:t xml:space="preserve"> continued to </w:t>
      </w:r>
      <w:r w:rsidR="002652E5">
        <w:rPr>
          <w:rFonts w:ascii="Calibri" w:eastAsia="Calibri" w:hAnsi="Calibri" w:cs="Times New Roman"/>
          <w:sz w:val="24"/>
        </w:rPr>
        <w:t>rise</w:t>
      </w:r>
      <w:r>
        <w:rPr>
          <w:rFonts w:ascii="Calibri" w:eastAsia="Calibri" w:hAnsi="Calibri" w:cs="Times New Roman"/>
          <w:sz w:val="24"/>
        </w:rPr>
        <w:t xml:space="preserve">. </w:t>
      </w:r>
      <w:r w:rsidR="00D56A44">
        <w:rPr>
          <w:rFonts w:ascii="Calibri" w:eastAsia="Calibri" w:hAnsi="Calibri" w:cs="Times New Roman"/>
          <w:sz w:val="24"/>
        </w:rPr>
        <w:t>The number of m</w:t>
      </w:r>
      <w:r>
        <w:rPr>
          <w:rFonts w:ascii="Calibri" w:eastAsia="Calibri" w:hAnsi="Calibri" w:cs="Times New Roman"/>
          <w:sz w:val="24"/>
        </w:rPr>
        <w:t>obile telephony subscriptions</w:t>
      </w:r>
      <w:r w:rsidR="00D56A44">
        <w:rPr>
          <w:rFonts w:ascii="Calibri" w:eastAsia="Calibri" w:hAnsi="Calibri" w:cs="Times New Roman"/>
          <w:sz w:val="24"/>
        </w:rPr>
        <w:t xml:space="preserve"> was up by 3% year-on-year, reaching</w:t>
      </w:r>
      <w:r>
        <w:rPr>
          <w:rFonts w:ascii="Calibri" w:eastAsia="Calibri" w:hAnsi="Calibri" w:cs="Times New Roman"/>
          <w:sz w:val="24"/>
        </w:rPr>
        <w:t xml:space="preserve"> 633,422 </w:t>
      </w:r>
      <w:r w:rsidR="00D56A44">
        <w:rPr>
          <w:rFonts w:ascii="Calibri" w:eastAsia="Calibri" w:hAnsi="Calibri" w:cs="Times New Roman"/>
          <w:sz w:val="24"/>
        </w:rPr>
        <w:t>by the end of March 2020</w:t>
      </w:r>
      <w:r>
        <w:rPr>
          <w:rFonts w:ascii="Calibri" w:eastAsia="Calibri" w:hAnsi="Calibri" w:cs="Times New Roman"/>
          <w:sz w:val="24"/>
        </w:rPr>
        <w:t xml:space="preserve">. </w:t>
      </w:r>
    </w:p>
    <w:p w:rsidR="00856F6C" w:rsidRDefault="00D56A44" w:rsidP="00683148">
      <w:pPr>
        <w:spacing w:line="360" w:lineRule="auto"/>
        <w:jc w:val="both"/>
        <w:rPr>
          <w:rFonts w:ascii="Calibri" w:eastAsia="Calibri" w:hAnsi="Calibri" w:cs="Times New Roman"/>
          <w:sz w:val="24"/>
        </w:rPr>
      </w:pPr>
      <w:r>
        <w:rPr>
          <w:rFonts w:ascii="Calibri" w:eastAsia="Calibri" w:hAnsi="Calibri" w:cs="Times New Roman"/>
          <w:sz w:val="24"/>
        </w:rPr>
        <w:t>Also</w:t>
      </w:r>
      <w:r w:rsidR="0071260F">
        <w:rPr>
          <w:rFonts w:ascii="Calibri" w:eastAsia="Calibri" w:hAnsi="Calibri" w:cs="Times New Roman"/>
          <w:sz w:val="24"/>
        </w:rPr>
        <w:t xml:space="preserve"> consistent with trends observed in 2019 and earlier, th</w:t>
      </w:r>
      <w:r w:rsidR="009F6B36">
        <w:rPr>
          <w:rFonts w:ascii="Calibri" w:eastAsia="Calibri" w:hAnsi="Calibri" w:cs="Times New Roman"/>
          <w:sz w:val="24"/>
        </w:rPr>
        <w:t xml:space="preserve">e proportion of post-paid subscriptions to the total registered a </w:t>
      </w:r>
      <w:r w:rsidR="00057BDA">
        <w:rPr>
          <w:rFonts w:ascii="Calibri" w:eastAsia="Calibri" w:hAnsi="Calibri" w:cs="Times New Roman"/>
          <w:sz w:val="24"/>
        </w:rPr>
        <w:t>one</w:t>
      </w:r>
      <w:r w:rsidR="009F6B36">
        <w:rPr>
          <w:rFonts w:ascii="Calibri" w:eastAsia="Calibri" w:hAnsi="Calibri" w:cs="Times New Roman"/>
          <w:sz w:val="24"/>
        </w:rPr>
        <w:t xml:space="preserve">-percentage point </w:t>
      </w:r>
      <w:r w:rsidR="002652E5">
        <w:rPr>
          <w:rFonts w:ascii="Calibri" w:eastAsia="Calibri" w:hAnsi="Calibri" w:cs="Times New Roman"/>
          <w:sz w:val="24"/>
        </w:rPr>
        <w:t xml:space="preserve">year-on-year </w:t>
      </w:r>
      <w:r w:rsidR="009F6B36">
        <w:rPr>
          <w:rFonts w:ascii="Calibri" w:eastAsia="Calibri" w:hAnsi="Calibri" w:cs="Times New Roman"/>
          <w:sz w:val="24"/>
        </w:rPr>
        <w:t>increase</w:t>
      </w:r>
      <w:r w:rsidR="002652E5">
        <w:rPr>
          <w:rFonts w:ascii="Calibri" w:eastAsia="Calibri" w:hAnsi="Calibri" w:cs="Times New Roman"/>
          <w:sz w:val="24"/>
        </w:rPr>
        <w:t xml:space="preserve">, reaching </w:t>
      </w:r>
      <w:r w:rsidR="00057BDA">
        <w:rPr>
          <w:rFonts w:ascii="Calibri" w:eastAsia="Calibri" w:hAnsi="Calibri" w:cs="Times New Roman"/>
          <w:sz w:val="24"/>
        </w:rPr>
        <w:t xml:space="preserve">almost </w:t>
      </w:r>
      <w:r w:rsidR="009F6B36">
        <w:rPr>
          <w:rFonts w:ascii="Calibri" w:eastAsia="Calibri" w:hAnsi="Calibri" w:cs="Times New Roman"/>
          <w:sz w:val="24"/>
        </w:rPr>
        <w:t>3</w:t>
      </w:r>
      <w:r w:rsidR="00057BDA">
        <w:rPr>
          <w:rFonts w:ascii="Calibri" w:eastAsia="Calibri" w:hAnsi="Calibri" w:cs="Times New Roman"/>
          <w:sz w:val="24"/>
        </w:rPr>
        <w:t>9%</w:t>
      </w:r>
      <w:r w:rsidR="009F6B36">
        <w:rPr>
          <w:rFonts w:ascii="Calibri" w:eastAsia="Calibri" w:hAnsi="Calibri" w:cs="Times New Roman"/>
          <w:sz w:val="24"/>
        </w:rPr>
        <w:t xml:space="preserve"> by the end of </w:t>
      </w:r>
      <w:r w:rsidR="0071260F">
        <w:rPr>
          <w:rFonts w:ascii="Calibri" w:eastAsia="Calibri" w:hAnsi="Calibri" w:cs="Times New Roman"/>
          <w:sz w:val="24"/>
        </w:rPr>
        <w:t xml:space="preserve">March. </w:t>
      </w:r>
      <w:r w:rsidR="00057BDA">
        <w:rPr>
          <w:rFonts w:ascii="Calibri" w:eastAsia="Calibri" w:hAnsi="Calibri" w:cs="Times New Roman"/>
          <w:sz w:val="24"/>
        </w:rPr>
        <w:t>At the same time</w:t>
      </w:r>
      <w:r w:rsidR="009F6B36">
        <w:rPr>
          <w:rFonts w:ascii="Calibri" w:eastAsia="Calibri" w:hAnsi="Calibri" w:cs="Times New Roman"/>
          <w:sz w:val="24"/>
        </w:rPr>
        <w:t>, the share of pre-paid subscriptions to the total w</w:t>
      </w:r>
      <w:r w:rsidR="00CC138F">
        <w:rPr>
          <w:rFonts w:ascii="Calibri" w:eastAsia="Calibri" w:hAnsi="Calibri" w:cs="Times New Roman"/>
          <w:sz w:val="24"/>
        </w:rPr>
        <w:t>as down by the same margin</w:t>
      </w:r>
      <w:r w:rsidR="009F6B36">
        <w:rPr>
          <w:rFonts w:ascii="Calibri" w:eastAsia="Calibri" w:hAnsi="Calibri" w:cs="Times New Roman"/>
          <w:sz w:val="24"/>
        </w:rPr>
        <w:t xml:space="preserve">. </w:t>
      </w:r>
      <w:r w:rsidR="00856F6C">
        <w:rPr>
          <w:rFonts w:ascii="Calibri" w:eastAsia="Calibri" w:hAnsi="Calibri" w:cs="Times New Roman"/>
          <w:sz w:val="24"/>
        </w:rPr>
        <w:t>It is understood that monthly allowances</w:t>
      </w:r>
      <w:r w:rsidR="00057BDA">
        <w:rPr>
          <w:rFonts w:ascii="Calibri" w:eastAsia="Calibri" w:hAnsi="Calibri" w:cs="Times New Roman"/>
          <w:sz w:val="24"/>
        </w:rPr>
        <w:t xml:space="preserve"> </w:t>
      </w:r>
      <w:r w:rsidR="002652E5">
        <w:rPr>
          <w:rFonts w:ascii="Calibri" w:eastAsia="Calibri" w:hAnsi="Calibri" w:cs="Times New Roman"/>
          <w:sz w:val="24"/>
        </w:rPr>
        <w:t xml:space="preserve">are a key </w:t>
      </w:r>
      <w:r w:rsidR="001E3F35">
        <w:rPr>
          <w:rFonts w:ascii="Calibri" w:eastAsia="Calibri" w:hAnsi="Calibri" w:cs="Times New Roman"/>
          <w:sz w:val="24"/>
        </w:rPr>
        <w:t>factor</w:t>
      </w:r>
      <w:r w:rsidR="002652E5">
        <w:rPr>
          <w:rFonts w:ascii="Calibri" w:eastAsia="Calibri" w:hAnsi="Calibri" w:cs="Times New Roman"/>
          <w:sz w:val="24"/>
        </w:rPr>
        <w:t xml:space="preserve"> pushing post-paid uptake</w:t>
      </w:r>
      <w:r w:rsidR="009F6B36">
        <w:rPr>
          <w:rFonts w:ascii="Calibri" w:eastAsia="Calibri" w:hAnsi="Calibri" w:cs="Times New Roman"/>
          <w:sz w:val="24"/>
        </w:rPr>
        <w:t>.</w:t>
      </w:r>
      <w:r w:rsidR="00856F6C">
        <w:rPr>
          <w:rFonts w:ascii="Calibri" w:eastAsia="Calibri" w:hAnsi="Calibri" w:cs="Times New Roman"/>
          <w:sz w:val="24"/>
        </w:rPr>
        <w:t xml:space="preserve"> </w:t>
      </w:r>
    </w:p>
    <w:p w:rsidR="00536E25" w:rsidRDefault="00057BDA" w:rsidP="00307691">
      <w:pPr>
        <w:spacing w:line="360" w:lineRule="auto"/>
        <w:jc w:val="both"/>
        <w:rPr>
          <w:rFonts w:ascii="Calibri" w:eastAsia="Calibri" w:hAnsi="Calibri" w:cs="Times New Roman"/>
          <w:sz w:val="24"/>
        </w:rPr>
      </w:pPr>
      <w:r>
        <w:rPr>
          <w:rFonts w:ascii="Calibri" w:eastAsia="Calibri" w:hAnsi="Calibri" w:cs="Times New Roman"/>
          <w:sz w:val="24"/>
        </w:rPr>
        <w:lastRenderedPageBreak/>
        <w:t xml:space="preserve">Significantly, mobile voice and data volumes were </w:t>
      </w:r>
      <w:r w:rsidR="00FC170A">
        <w:rPr>
          <w:rFonts w:ascii="Calibri" w:eastAsia="Calibri" w:hAnsi="Calibri" w:cs="Times New Roman"/>
          <w:sz w:val="24"/>
        </w:rPr>
        <w:t>up</w:t>
      </w:r>
      <w:r>
        <w:rPr>
          <w:rFonts w:ascii="Calibri" w:eastAsia="Calibri" w:hAnsi="Calibri" w:cs="Times New Roman"/>
          <w:sz w:val="24"/>
        </w:rPr>
        <w:t xml:space="preserve"> year-on-year, with </w:t>
      </w:r>
      <w:r w:rsidR="00CC138F">
        <w:rPr>
          <w:rFonts w:ascii="Calibri" w:eastAsia="Calibri" w:hAnsi="Calibri" w:cs="Times New Roman"/>
          <w:sz w:val="24"/>
        </w:rPr>
        <w:t>the number of</w:t>
      </w:r>
      <w:r w:rsidR="00FC170A">
        <w:rPr>
          <w:rFonts w:ascii="Calibri" w:eastAsia="Calibri" w:hAnsi="Calibri" w:cs="Times New Roman"/>
          <w:sz w:val="24"/>
        </w:rPr>
        <w:t xml:space="preserve"> </w:t>
      </w:r>
      <w:r w:rsidR="00856F6C">
        <w:rPr>
          <w:rFonts w:ascii="Calibri" w:eastAsia="Calibri" w:hAnsi="Calibri" w:cs="Times New Roman"/>
          <w:sz w:val="24"/>
        </w:rPr>
        <w:t xml:space="preserve">outgoing voice calls </w:t>
      </w:r>
      <w:r>
        <w:rPr>
          <w:rFonts w:ascii="Calibri" w:eastAsia="Calibri" w:hAnsi="Calibri" w:cs="Times New Roman"/>
          <w:sz w:val="24"/>
        </w:rPr>
        <w:t xml:space="preserve">in the quarter under review edging </w:t>
      </w:r>
      <w:r w:rsidR="00CC138F">
        <w:rPr>
          <w:rFonts w:ascii="Calibri" w:eastAsia="Calibri" w:hAnsi="Calibri" w:cs="Times New Roman"/>
          <w:sz w:val="24"/>
        </w:rPr>
        <w:t>up</w:t>
      </w:r>
      <w:r>
        <w:rPr>
          <w:rFonts w:ascii="Calibri" w:eastAsia="Calibri" w:hAnsi="Calibri" w:cs="Times New Roman"/>
          <w:sz w:val="24"/>
        </w:rPr>
        <w:t>wards</w:t>
      </w:r>
      <w:r w:rsidR="00CC138F">
        <w:rPr>
          <w:rFonts w:ascii="Calibri" w:eastAsia="Calibri" w:hAnsi="Calibri" w:cs="Times New Roman"/>
          <w:sz w:val="24"/>
        </w:rPr>
        <w:t xml:space="preserve"> by</w:t>
      </w:r>
      <w:r>
        <w:rPr>
          <w:rFonts w:ascii="Calibri" w:eastAsia="Calibri" w:hAnsi="Calibri" w:cs="Times New Roman"/>
          <w:sz w:val="24"/>
        </w:rPr>
        <w:t xml:space="preserve"> 2</w:t>
      </w:r>
      <w:r w:rsidR="00CC138F">
        <w:rPr>
          <w:rFonts w:ascii="Calibri" w:eastAsia="Calibri" w:hAnsi="Calibri" w:cs="Times New Roman"/>
          <w:sz w:val="24"/>
        </w:rPr>
        <w:t xml:space="preserve">.3 million (or by </w:t>
      </w:r>
      <w:r>
        <w:rPr>
          <w:rFonts w:ascii="Calibri" w:eastAsia="Calibri" w:hAnsi="Calibri" w:cs="Times New Roman"/>
          <w:sz w:val="24"/>
        </w:rPr>
        <w:t>2</w:t>
      </w:r>
      <w:r w:rsidR="00CC138F">
        <w:rPr>
          <w:rFonts w:ascii="Calibri" w:eastAsia="Calibri" w:hAnsi="Calibri" w:cs="Times New Roman"/>
          <w:sz w:val="24"/>
        </w:rPr>
        <w:t xml:space="preserve">%) </w:t>
      </w:r>
      <w:r>
        <w:rPr>
          <w:rFonts w:ascii="Calibri" w:eastAsia="Calibri" w:hAnsi="Calibri" w:cs="Times New Roman"/>
          <w:sz w:val="24"/>
        </w:rPr>
        <w:t xml:space="preserve">when compared to the same period in 2019, </w:t>
      </w:r>
      <w:r w:rsidR="00CC138F">
        <w:rPr>
          <w:rFonts w:ascii="Calibri" w:eastAsia="Calibri" w:hAnsi="Calibri" w:cs="Times New Roman"/>
          <w:sz w:val="24"/>
        </w:rPr>
        <w:t xml:space="preserve">whilst the number of voice call minutes </w:t>
      </w:r>
      <w:r>
        <w:rPr>
          <w:rFonts w:ascii="Calibri" w:eastAsia="Calibri" w:hAnsi="Calibri" w:cs="Times New Roman"/>
          <w:sz w:val="24"/>
        </w:rPr>
        <w:t xml:space="preserve">surged </w:t>
      </w:r>
      <w:r w:rsidR="00CC138F">
        <w:rPr>
          <w:rFonts w:ascii="Calibri" w:eastAsia="Calibri" w:hAnsi="Calibri" w:cs="Times New Roman"/>
          <w:sz w:val="24"/>
        </w:rPr>
        <w:t xml:space="preserve">by </w:t>
      </w:r>
      <w:r>
        <w:rPr>
          <w:rFonts w:ascii="Calibri" w:eastAsia="Calibri" w:hAnsi="Calibri" w:cs="Times New Roman"/>
          <w:sz w:val="24"/>
        </w:rPr>
        <w:t>32.3</w:t>
      </w:r>
      <w:r w:rsidR="00CC138F">
        <w:rPr>
          <w:rFonts w:ascii="Calibri" w:eastAsia="Calibri" w:hAnsi="Calibri" w:cs="Times New Roman"/>
          <w:sz w:val="24"/>
        </w:rPr>
        <w:t xml:space="preserve"> million (or by </w:t>
      </w:r>
      <w:r>
        <w:rPr>
          <w:rFonts w:ascii="Calibri" w:eastAsia="Calibri" w:hAnsi="Calibri" w:cs="Times New Roman"/>
          <w:sz w:val="24"/>
        </w:rPr>
        <w:t>13</w:t>
      </w:r>
      <w:r w:rsidR="00CC138F">
        <w:rPr>
          <w:rFonts w:ascii="Calibri" w:eastAsia="Calibri" w:hAnsi="Calibri" w:cs="Times New Roman"/>
          <w:sz w:val="24"/>
        </w:rPr>
        <w:t>%).</w:t>
      </w:r>
      <w:r w:rsidR="00CC138F" w:rsidDel="00CC138F">
        <w:rPr>
          <w:rFonts w:ascii="Calibri" w:eastAsia="Calibri" w:hAnsi="Calibri" w:cs="Times New Roman"/>
          <w:sz w:val="24"/>
        </w:rPr>
        <w:t xml:space="preserve"> </w:t>
      </w:r>
      <w:r>
        <w:rPr>
          <w:rFonts w:ascii="Calibri" w:eastAsia="Calibri" w:hAnsi="Calibri" w:cs="Times New Roman"/>
          <w:sz w:val="24"/>
        </w:rPr>
        <w:t>Meanwhile, t</w:t>
      </w:r>
      <w:r w:rsidR="00CC138F" w:rsidRPr="00CC138F">
        <w:rPr>
          <w:rFonts w:ascii="Calibri" w:eastAsia="Calibri" w:hAnsi="Calibri" w:cs="Times New Roman"/>
          <w:sz w:val="24"/>
        </w:rPr>
        <w:t xml:space="preserve">he number of mobile </w:t>
      </w:r>
      <w:r>
        <w:rPr>
          <w:rFonts w:ascii="Calibri" w:eastAsia="Calibri" w:hAnsi="Calibri" w:cs="Times New Roman"/>
          <w:sz w:val="24"/>
        </w:rPr>
        <w:t xml:space="preserve">SMS text </w:t>
      </w:r>
      <w:r w:rsidR="00CC138F" w:rsidRPr="00CC138F">
        <w:rPr>
          <w:rFonts w:ascii="Calibri" w:eastAsia="Calibri" w:hAnsi="Calibri" w:cs="Times New Roman"/>
          <w:sz w:val="24"/>
        </w:rPr>
        <w:t>messages</w:t>
      </w:r>
      <w:r>
        <w:rPr>
          <w:rFonts w:ascii="Calibri" w:eastAsia="Calibri" w:hAnsi="Calibri" w:cs="Times New Roman"/>
          <w:sz w:val="24"/>
        </w:rPr>
        <w:t xml:space="preserve"> </w:t>
      </w:r>
      <w:r w:rsidR="00771B13">
        <w:rPr>
          <w:rFonts w:ascii="Calibri" w:eastAsia="Calibri" w:hAnsi="Calibri" w:cs="Times New Roman"/>
          <w:sz w:val="24"/>
        </w:rPr>
        <w:t xml:space="preserve">was </w:t>
      </w:r>
      <w:r w:rsidR="00CC138F" w:rsidRPr="00CC138F">
        <w:rPr>
          <w:rFonts w:ascii="Calibri" w:eastAsia="Calibri" w:hAnsi="Calibri" w:cs="Times New Roman"/>
          <w:sz w:val="24"/>
        </w:rPr>
        <w:t xml:space="preserve">down </w:t>
      </w:r>
      <w:r w:rsidR="00536E25">
        <w:rPr>
          <w:rFonts w:ascii="Calibri" w:eastAsia="Calibri" w:hAnsi="Calibri" w:cs="Times New Roman"/>
          <w:sz w:val="24"/>
        </w:rPr>
        <w:t>by 10.8</w:t>
      </w:r>
      <w:r w:rsidR="00CC138F">
        <w:rPr>
          <w:rFonts w:ascii="Calibri" w:eastAsia="Calibri" w:hAnsi="Calibri" w:cs="Times New Roman"/>
          <w:sz w:val="24"/>
        </w:rPr>
        <w:t xml:space="preserve"> million</w:t>
      </w:r>
      <w:r w:rsidR="00CC138F" w:rsidRPr="00CC138F">
        <w:rPr>
          <w:rFonts w:ascii="Calibri" w:eastAsia="Calibri" w:hAnsi="Calibri" w:cs="Times New Roman"/>
          <w:sz w:val="24"/>
        </w:rPr>
        <w:t xml:space="preserve"> (</w:t>
      </w:r>
      <w:r w:rsidR="00683148">
        <w:rPr>
          <w:rFonts w:ascii="Calibri" w:eastAsia="Calibri" w:hAnsi="Calibri" w:cs="Times New Roman"/>
          <w:sz w:val="24"/>
        </w:rPr>
        <w:t>or by 1</w:t>
      </w:r>
      <w:r w:rsidR="00536E25">
        <w:rPr>
          <w:rFonts w:ascii="Calibri" w:eastAsia="Calibri" w:hAnsi="Calibri" w:cs="Times New Roman"/>
          <w:sz w:val="24"/>
        </w:rPr>
        <w:t>7</w:t>
      </w:r>
      <w:r w:rsidR="00CC138F" w:rsidRPr="00CC138F">
        <w:rPr>
          <w:rFonts w:ascii="Calibri" w:eastAsia="Calibri" w:hAnsi="Calibri" w:cs="Times New Roman"/>
          <w:sz w:val="24"/>
        </w:rPr>
        <w:t>%)</w:t>
      </w:r>
      <w:r w:rsidR="00536E25">
        <w:rPr>
          <w:rFonts w:ascii="Calibri" w:eastAsia="Calibri" w:hAnsi="Calibri" w:cs="Times New Roman"/>
          <w:sz w:val="24"/>
        </w:rPr>
        <w:t xml:space="preserve">. </w:t>
      </w:r>
      <w:r w:rsidR="00771B13">
        <w:rPr>
          <w:rFonts w:ascii="Calibri" w:eastAsia="Calibri" w:hAnsi="Calibri" w:cs="Times New Roman"/>
          <w:sz w:val="24"/>
        </w:rPr>
        <w:t>Roaming activity already started to feel the pinch with volumes in quarter one of 2020 down when compared to the same period a year earlier, for example by 10.7% in terms of outbound roaming minutes and by 4.4% in terms of inbound roaming minuted.</w:t>
      </w:r>
    </w:p>
    <w:p w:rsidR="00856F6C" w:rsidRDefault="00771B13" w:rsidP="00307691">
      <w:pPr>
        <w:spacing w:line="360" w:lineRule="auto"/>
        <w:jc w:val="both"/>
        <w:rPr>
          <w:rFonts w:ascii="Calibri" w:eastAsia="Calibri" w:hAnsi="Calibri" w:cs="Times New Roman"/>
          <w:sz w:val="24"/>
        </w:rPr>
      </w:pPr>
      <w:r>
        <w:rPr>
          <w:rFonts w:ascii="Calibri" w:eastAsia="Calibri" w:hAnsi="Calibri" w:cs="Times New Roman"/>
          <w:sz w:val="24"/>
        </w:rPr>
        <w:t xml:space="preserve">Mobile data consumption soared to new heights, with mobile data volumes in quarter under review equivalent to half the mobile data consumed in 2019. </w:t>
      </w:r>
    </w:p>
    <w:p w:rsidR="00683148" w:rsidRDefault="00A5136C" w:rsidP="00307691">
      <w:pPr>
        <w:spacing w:line="360" w:lineRule="auto"/>
        <w:jc w:val="both"/>
        <w:rPr>
          <w:rFonts w:ascii="Calibri" w:eastAsia="Calibri" w:hAnsi="Calibri" w:cs="Times New Roman"/>
          <w:sz w:val="24"/>
        </w:rPr>
      </w:pPr>
      <w:r>
        <w:rPr>
          <w:rFonts w:ascii="Calibri" w:eastAsia="Calibri" w:hAnsi="Calibri" w:cs="Times New Roman"/>
          <w:sz w:val="24"/>
        </w:rPr>
        <w:t>ARPU for the mobile telephony segment</w:t>
      </w:r>
      <w:r w:rsidR="00771B13">
        <w:rPr>
          <w:rFonts w:ascii="Calibri" w:eastAsia="Calibri" w:hAnsi="Calibri" w:cs="Times New Roman"/>
          <w:sz w:val="24"/>
        </w:rPr>
        <w:t xml:space="preserve"> did not change much when comparing </w:t>
      </w:r>
      <w:r>
        <w:rPr>
          <w:rFonts w:ascii="Calibri" w:eastAsia="Calibri" w:hAnsi="Calibri" w:cs="Times New Roman"/>
          <w:sz w:val="24"/>
        </w:rPr>
        <w:t xml:space="preserve">year-on-year, </w:t>
      </w:r>
      <w:r w:rsidR="00771B13">
        <w:rPr>
          <w:rFonts w:ascii="Calibri" w:eastAsia="Calibri" w:hAnsi="Calibri" w:cs="Times New Roman"/>
          <w:sz w:val="24"/>
        </w:rPr>
        <w:t>nothwithstanding the o</w:t>
      </w:r>
      <w:r>
        <w:rPr>
          <w:rFonts w:ascii="Calibri" w:eastAsia="Calibri" w:hAnsi="Calibri" w:cs="Times New Roman"/>
          <w:sz w:val="24"/>
        </w:rPr>
        <w:t>perators</w:t>
      </w:r>
      <w:r w:rsidR="00771B13">
        <w:rPr>
          <w:rFonts w:ascii="Calibri" w:eastAsia="Calibri" w:hAnsi="Calibri" w:cs="Times New Roman"/>
          <w:sz w:val="24"/>
        </w:rPr>
        <w:t>’</w:t>
      </w:r>
      <w:r>
        <w:rPr>
          <w:rFonts w:ascii="Calibri" w:eastAsia="Calibri" w:hAnsi="Calibri" w:cs="Times New Roman"/>
          <w:sz w:val="24"/>
        </w:rPr>
        <w:t xml:space="preserve"> succee</w:t>
      </w:r>
      <w:r w:rsidR="00771B13">
        <w:rPr>
          <w:rFonts w:ascii="Calibri" w:eastAsia="Calibri" w:hAnsi="Calibri" w:cs="Times New Roman"/>
          <w:sz w:val="24"/>
        </w:rPr>
        <w:t>ss i</w:t>
      </w:r>
      <w:r>
        <w:rPr>
          <w:rFonts w:ascii="Calibri" w:eastAsia="Calibri" w:hAnsi="Calibri" w:cs="Times New Roman"/>
          <w:sz w:val="24"/>
        </w:rPr>
        <w:t xml:space="preserve">n upselling low-end subscribers to post-paid plans and </w:t>
      </w:r>
      <w:r w:rsidR="00771B13">
        <w:rPr>
          <w:rFonts w:ascii="Calibri" w:eastAsia="Calibri" w:hAnsi="Calibri" w:cs="Times New Roman"/>
          <w:sz w:val="24"/>
        </w:rPr>
        <w:t xml:space="preserve">the strong </w:t>
      </w:r>
      <w:r>
        <w:rPr>
          <w:rFonts w:ascii="Calibri" w:eastAsia="Calibri" w:hAnsi="Calibri" w:cs="Times New Roman"/>
          <w:sz w:val="24"/>
        </w:rPr>
        <w:t xml:space="preserve">increase in </w:t>
      </w:r>
      <w:r w:rsidR="00683148">
        <w:rPr>
          <w:rFonts w:ascii="Calibri" w:eastAsia="Calibri" w:hAnsi="Calibri" w:cs="Times New Roman"/>
          <w:sz w:val="24"/>
        </w:rPr>
        <w:t>consumption of mobile data</w:t>
      </w:r>
      <w:r>
        <w:rPr>
          <w:rFonts w:ascii="Calibri" w:eastAsia="Calibri" w:hAnsi="Calibri" w:cs="Times New Roman"/>
          <w:sz w:val="24"/>
        </w:rPr>
        <w:t xml:space="preserve">. Mobile telephony ARPU </w:t>
      </w:r>
      <w:r w:rsidR="00771B13">
        <w:rPr>
          <w:rFonts w:ascii="Calibri" w:eastAsia="Calibri" w:hAnsi="Calibri" w:cs="Times New Roman"/>
          <w:sz w:val="24"/>
        </w:rPr>
        <w:t xml:space="preserve">stood at </w:t>
      </w:r>
      <w:r w:rsidR="00683148">
        <w:rPr>
          <w:rFonts w:ascii="Calibri" w:eastAsia="Calibri" w:hAnsi="Calibri" w:cs="Times New Roman"/>
          <w:sz w:val="24"/>
        </w:rPr>
        <w:t>€</w:t>
      </w:r>
      <w:r w:rsidR="00771B13">
        <w:rPr>
          <w:rFonts w:ascii="Calibri" w:eastAsia="Calibri" w:hAnsi="Calibri" w:cs="Times New Roman"/>
          <w:sz w:val="24"/>
        </w:rPr>
        <w:t xml:space="preserve">43.30 in </w:t>
      </w:r>
      <w:r w:rsidR="00D07BB3">
        <w:rPr>
          <w:rFonts w:ascii="Calibri" w:eastAsia="Calibri" w:hAnsi="Calibri" w:cs="Times New Roman"/>
          <w:sz w:val="24"/>
        </w:rPr>
        <w:t>Q1</w:t>
      </w:r>
      <w:r w:rsidR="00771B13">
        <w:rPr>
          <w:rFonts w:ascii="Calibri" w:eastAsia="Calibri" w:hAnsi="Calibri" w:cs="Times New Roman"/>
          <w:sz w:val="24"/>
        </w:rPr>
        <w:t xml:space="preserve"> 2020, relatively unchanged from </w:t>
      </w:r>
      <w:r w:rsidR="00D07BB3">
        <w:rPr>
          <w:rFonts w:ascii="Calibri" w:eastAsia="Calibri" w:hAnsi="Calibri" w:cs="Times New Roman"/>
          <w:sz w:val="24"/>
        </w:rPr>
        <w:t>€43.45 in Q1 2019.</w:t>
      </w:r>
    </w:p>
    <w:p w:rsidR="007559B8" w:rsidRPr="007559B8" w:rsidRDefault="007559B8" w:rsidP="00B90341">
      <w:pPr>
        <w:spacing w:line="360" w:lineRule="auto"/>
        <w:rPr>
          <w:rFonts w:ascii="Calibri" w:eastAsia="Calibri" w:hAnsi="Calibri" w:cs="Times New Roman"/>
          <w:b/>
          <w:sz w:val="24"/>
        </w:rPr>
      </w:pPr>
      <w:r w:rsidRPr="007559B8">
        <w:rPr>
          <w:rFonts w:ascii="Calibri" w:eastAsia="Calibri" w:hAnsi="Calibri" w:cs="Times New Roman"/>
          <w:b/>
          <w:sz w:val="24"/>
        </w:rPr>
        <w:t>Pay-Tv</w:t>
      </w:r>
    </w:p>
    <w:p w:rsidR="00AF7403" w:rsidRDefault="00AF7403" w:rsidP="00DE3720">
      <w:pPr>
        <w:spacing w:line="360" w:lineRule="auto"/>
        <w:jc w:val="both"/>
        <w:rPr>
          <w:rFonts w:ascii="Calibri" w:eastAsia="Calibri" w:hAnsi="Calibri" w:cs="Times New Roman"/>
          <w:sz w:val="24"/>
        </w:rPr>
      </w:pPr>
      <w:r>
        <w:rPr>
          <w:rFonts w:ascii="Calibri" w:eastAsia="Calibri" w:hAnsi="Calibri" w:cs="Times New Roman"/>
          <w:sz w:val="24"/>
        </w:rPr>
        <w:t>T</w:t>
      </w:r>
      <w:r w:rsidR="00C82D61">
        <w:rPr>
          <w:rFonts w:ascii="Calibri" w:eastAsia="Calibri" w:hAnsi="Calibri" w:cs="Times New Roman"/>
          <w:sz w:val="24"/>
        </w:rPr>
        <w:t>he number of pay TV</w:t>
      </w:r>
      <w:r w:rsidR="003531D3">
        <w:rPr>
          <w:rFonts w:ascii="Calibri" w:eastAsia="Calibri" w:hAnsi="Calibri" w:cs="Times New Roman"/>
          <w:sz w:val="24"/>
        </w:rPr>
        <w:t xml:space="preserve"> subscriptions</w:t>
      </w:r>
      <w:r>
        <w:rPr>
          <w:rFonts w:ascii="Calibri" w:eastAsia="Calibri" w:hAnsi="Calibri" w:cs="Times New Roman"/>
          <w:sz w:val="24"/>
        </w:rPr>
        <w:t xml:space="preserve"> increased </w:t>
      </w:r>
      <w:r w:rsidR="00C82D61">
        <w:rPr>
          <w:rFonts w:ascii="Calibri" w:eastAsia="Calibri" w:hAnsi="Calibri" w:cs="Times New Roman"/>
          <w:sz w:val="24"/>
        </w:rPr>
        <w:t xml:space="preserve">by </w:t>
      </w:r>
      <w:r w:rsidR="003531D3">
        <w:rPr>
          <w:rFonts w:ascii="Calibri" w:eastAsia="Calibri" w:hAnsi="Calibri" w:cs="Times New Roman"/>
          <w:sz w:val="24"/>
        </w:rPr>
        <w:t xml:space="preserve">3.3% </w:t>
      </w:r>
      <w:r w:rsidR="00C82D61">
        <w:rPr>
          <w:rFonts w:ascii="Calibri" w:eastAsia="Calibri" w:hAnsi="Calibri" w:cs="Times New Roman"/>
          <w:sz w:val="24"/>
        </w:rPr>
        <w:t>year-on-year</w:t>
      </w:r>
      <w:r>
        <w:rPr>
          <w:rFonts w:ascii="Calibri" w:eastAsia="Calibri" w:hAnsi="Calibri" w:cs="Times New Roman"/>
          <w:sz w:val="24"/>
        </w:rPr>
        <w:t xml:space="preserve"> to reach 172</w:t>
      </w:r>
      <w:r w:rsidR="003531D3">
        <w:rPr>
          <w:rFonts w:ascii="Calibri" w:eastAsia="Calibri" w:hAnsi="Calibri" w:cs="Times New Roman"/>
          <w:sz w:val="24"/>
        </w:rPr>
        <w:t>,</w:t>
      </w:r>
      <w:r>
        <w:rPr>
          <w:rFonts w:ascii="Calibri" w:eastAsia="Calibri" w:hAnsi="Calibri" w:cs="Times New Roman"/>
          <w:sz w:val="24"/>
        </w:rPr>
        <w:t xml:space="preserve">091 by the end of the current review period. Growth has been in line with recent market trends and it remains to be seen how take-up of pay TV </w:t>
      </w:r>
      <w:r w:rsidR="00782E5B">
        <w:rPr>
          <w:rFonts w:ascii="Calibri" w:eastAsia="Calibri" w:hAnsi="Calibri" w:cs="Times New Roman"/>
          <w:sz w:val="24"/>
        </w:rPr>
        <w:t xml:space="preserve">continues to </w:t>
      </w:r>
      <w:r>
        <w:rPr>
          <w:rFonts w:ascii="Calibri" w:eastAsia="Calibri" w:hAnsi="Calibri" w:cs="Times New Roman"/>
          <w:sz w:val="24"/>
        </w:rPr>
        <w:t xml:space="preserve">evolve in the second quarter of this year due </w:t>
      </w:r>
      <w:r w:rsidRPr="00AF7403">
        <w:rPr>
          <w:rFonts w:ascii="Calibri" w:eastAsia="Calibri" w:hAnsi="Calibri" w:cs="Times New Roman"/>
          <w:sz w:val="24"/>
        </w:rPr>
        <w:t>to the growing importance of in-home entertainment</w:t>
      </w:r>
      <w:r w:rsidR="00782E5B">
        <w:rPr>
          <w:rFonts w:ascii="Calibri" w:eastAsia="Calibri" w:hAnsi="Calibri" w:cs="Times New Roman"/>
          <w:sz w:val="24"/>
        </w:rPr>
        <w:t xml:space="preserve"> when most people were bound at home</w:t>
      </w:r>
      <w:r w:rsidRPr="00AF7403">
        <w:rPr>
          <w:rFonts w:ascii="Calibri" w:eastAsia="Calibri" w:hAnsi="Calibri" w:cs="Times New Roman"/>
          <w:sz w:val="24"/>
        </w:rPr>
        <w:t xml:space="preserve">. </w:t>
      </w:r>
    </w:p>
    <w:p w:rsidR="008A7300" w:rsidRDefault="00C82D61" w:rsidP="00DE3720">
      <w:pPr>
        <w:spacing w:line="360" w:lineRule="auto"/>
        <w:jc w:val="both"/>
        <w:rPr>
          <w:rFonts w:ascii="Calibri" w:eastAsia="Calibri" w:hAnsi="Calibri" w:cs="Times New Roman"/>
          <w:sz w:val="24"/>
        </w:rPr>
      </w:pPr>
      <w:r>
        <w:rPr>
          <w:rFonts w:ascii="Calibri" w:eastAsia="Calibri" w:hAnsi="Calibri" w:cs="Times New Roman"/>
          <w:sz w:val="24"/>
        </w:rPr>
        <w:t xml:space="preserve">Subscriptions on </w:t>
      </w:r>
      <w:r w:rsidR="00AF7403">
        <w:rPr>
          <w:rFonts w:ascii="Calibri" w:eastAsia="Calibri" w:hAnsi="Calibri" w:cs="Times New Roman"/>
          <w:sz w:val="24"/>
        </w:rPr>
        <w:t xml:space="preserve">Melita’s </w:t>
      </w:r>
      <w:r w:rsidR="000C3B7D">
        <w:rPr>
          <w:rFonts w:ascii="Calibri" w:eastAsia="Calibri" w:hAnsi="Calibri" w:cs="Times New Roman"/>
          <w:sz w:val="24"/>
        </w:rPr>
        <w:t xml:space="preserve">digital cable platform </w:t>
      </w:r>
      <w:r>
        <w:rPr>
          <w:rFonts w:ascii="Calibri" w:eastAsia="Calibri" w:hAnsi="Calibri" w:cs="Times New Roman"/>
          <w:sz w:val="24"/>
        </w:rPr>
        <w:t xml:space="preserve">were up by </w:t>
      </w:r>
      <w:r w:rsidR="008A7300">
        <w:rPr>
          <w:rFonts w:ascii="Calibri" w:eastAsia="Calibri" w:hAnsi="Calibri" w:cs="Times New Roman"/>
          <w:sz w:val="24"/>
        </w:rPr>
        <w:t>5,</w:t>
      </w:r>
      <w:r w:rsidR="00AF7403">
        <w:rPr>
          <w:rFonts w:ascii="Calibri" w:eastAsia="Calibri" w:hAnsi="Calibri" w:cs="Times New Roman"/>
          <w:sz w:val="24"/>
        </w:rPr>
        <w:t>293</w:t>
      </w:r>
      <w:r w:rsidR="008A7300">
        <w:rPr>
          <w:rFonts w:ascii="Calibri" w:eastAsia="Calibri" w:hAnsi="Calibri" w:cs="Times New Roman"/>
          <w:sz w:val="24"/>
        </w:rPr>
        <w:t xml:space="preserve"> (or by </w:t>
      </w:r>
      <w:r w:rsidR="00AF7403">
        <w:rPr>
          <w:rFonts w:ascii="Calibri" w:eastAsia="Calibri" w:hAnsi="Calibri" w:cs="Times New Roman"/>
          <w:sz w:val="24"/>
        </w:rPr>
        <w:t>5</w:t>
      </w:r>
      <w:r w:rsidR="008A7300">
        <w:rPr>
          <w:rFonts w:ascii="Calibri" w:eastAsia="Calibri" w:hAnsi="Calibri" w:cs="Times New Roman"/>
          <w:sz w:val="24"/>
        </w:rPr>
        <w:t xml:space="preserve">%) whilst </w:t>
      </w:r>
      <w:r w:rsidR="00AF7403">
        <w:rPr>
          <w:rFonts w:ascii="Calibri" w:eastAsia="Calibri" w:hAnsi="Calibri" w:cs="Times New Roman"/>
          <w:sz w:val="24"/>
        </w:rPr>
        <w:t>GO’s</w:t>
      </w:r>
      <w:r w:rsidR="008A7300">
        <w:rPr>
          <w:rFonts w:ascii="Calibri" w:eastAsia="Calibri" w:hAnsi="Calibri" w:cs="Times New Roman"/>
          <w:sz w:val="24"/>
        </w:rPr>
        <w:t xml:space="preserve"> digital interactive (IPTV) platform saw a rise of </w:t>
      </w:r>
      <w:r w:rsidR="00AF7403">
        <w:rPr>
          <w:rFonts w:ascii="Calibri" w:eastAsia="Calibri" w:hAnsi="Calibri" w:cs="Times New Roman"/>
          <w:sz w:val="24"/>
        </w:rPr>
        <w:t>7,927</w:t>
      </w:r>
      <w:r w:rsidR="008A7300">
        <w:rPr>
          <w:rFonts w:ascii="Calibri" w:eastAsia="Calibri" w:hAnsi="Calibri" w:cs="Times New Roman"/>
          <w:sz w:val="24"/>
        </w:rPr>
        <w:t xml:space="preserve"> subscriptions (a 1</w:t>
      </w:r>
      <w:r w:rsidR="00AF7403">
        <w:rPr>
          <w:rFonts w:ascii="Calibri" w:eastAsia="Calibri" w:hAnsi="Calibri" w:cs="Times New Roman"/>
          <w:sz w:val="24"/>
        </w:rPr>
        <w:t>6</w:t>
      </w:r>
      <w:r w:rsidR="008A7300">
        <w:rPr>
          <w:rFonts w:ascii="Calibri" w:eastAsia="Calibri" w:hAnsi="Calibri" w:cs="Times New Roman"/>
          <w:sz w:val="24"/>
        </w:rPr>
        <w:t>% increase). For a proper context</w:t>
      </w:r>
      <w:r w:rsidR="00AF7403">
        <w:rPr>
          <w:rFonts w:ascii="Calibri" w:eastAsia="Calibri" w:hAnsi="Calibri" w:cs="Times New Roman"/>
          <w:sz w:val="24"/>
        </w:rPr>
        <w:t xml:space="preserve"> behind these developments</w:t>
      </w:r>
      <w:r w:rsidR="008A7300">
        <w:rPr>
          <w:rFonts w:ascii="Calibri" w:eastAsia="Calibri" w:hAnsi="Calibri" w:cs="Times New Roman"/>
          <w:sz w:val="24"/>
        </w:rPr>
        <w:t xml:space="preserve">, </w:t>
      </w:r>
      <w:r w:rsidR="00AF7403">
        <w:rPr>
          <w:rFonts w:ascii="Calibri" w:eastAsia="Calibri" w:hAnsi="Calibri" w:cs="Times New Roman"/>
          <w:sz w:val="24"/>
        </w:rPr>
        <w:t xml:space="preserve">it is relevant to note that </w:t>
      </w:r>
      <w:r w:rsidR="00307691">
        <w:rPr>
          <w:rFonts w:ascii="Calibri" w:eastAsia="Calibri" w:hAnsi="Calibri" w:cs="Times New Roman"/>
          <w:sz w:val="24"/>
        </w:rPr>
        <w:t>the</w:t>
      </w:r>
      <w:r w:rsidR="00AF7403">
        <w:rPr>
          <w:rFonts w:ascii="Calibri" w:eastAsia="Calibri" w:hAnsi="Calibri" w:cs="Times New Roman"/>
          <w:sz w:val="24"/>
        </w:rPr>
        <w:t xml:space="preserve"> increase </w:t>
      </w:r>
      <w:r w:rsidR="00307691">
        <w:rPr>
          <w:rFonts w:ascii="Calibri" w:eastAsia="Calibri" w:hAnsi="Calibri" w:cs="Times New Roman"/>
          <w:sz w:val="24"/>
        </w:rPr>
        <w:t xml:space="preserve">in GO’s IPTV take-up essentially mirrors </w:t>
      </w:r>
      <w:r w:rsidR="008A7300">
        <w:rPr>
          <w:rFonts w:ascii="Calibri" w:eastAsia="Calibri" w:hAnsi="Calibri" w:cs="Times New Roman"/>
          <w:sz w:val="24"/>
        </w:rPr>
        <w:t>migration from the DTTV platform</w:t>
      </w:r>
      <w:r w:rsidR="00307691">
        <w:rPr>
          <w:rFonts w:ascii="Calibri" w:eastAsia="Calibri" w:hAnsi="Calibri" w:cs="Times New Roman"/>
          <w:sz w:val="24"/>
        </w:rPr>
        <w:t xml:space="preserve"> of the same operator. </w:t>
      </w:r>
      <w:r w:rsidR="00DE3720">
        <w:rPr>
          <w:rFonts w:ascii="Calibri" w:eastAsia="Calibri" w:hAnsi="Calibri" w:cs="Times New Roman"/>
          <w:sz w:val="24"/>
        </w:rPr>
        <w:t>Year-on-year, t</w:t>
      </w:r>
      <w:r w:rsidR="008A7300">
        <w:rPr>
          <w:rFonts w:ascii="Calibri" w:eastAsia="Calibri" w:hAnsi="Calibri" w:cs="Times New Roman"/>
          <w:sz w:val="24"/>
        </w:rPr>
        <w:t>he number of DTTV subscriptions was down by 7,</w:t>
      </w:r>
      <w:r w:rsidR="00307691">
        <w:rPr>
          <w:rFonts w:ascii="Calibri" w:eastAsia="Calibri" w:hAnsi="Calibri" w:cs="Times New Roman"/>
          <w:sz w:val="24"/>
        </w:rPr>
        <w:t>692</w:t>
      </w:r>
      <w:r w:rsidR="008A7300">
        <w:rPr>
          <w:rFonts w:ascii="Calibri" w:eastAsia="Calibri" w:hAnsi="Calibri" w:cs="Times New Roman"/>
          <w:sz w:val="24"/>
        </w:rPr>
        <w:t xml:space="preserve"> (or by </w:t>
      </w:r>
      <w:r w:rsidR="00DE3720">
        <w:rPr>
          <w:rFonts w:ascii="Calibri" w:eastAsia="Calibri" w:hAnsi="Calibri" w:cs="Times New Roman"/>
          <w:sz w:val="24"/>
        </w:rPr>
        <w:t>3</w:t>
      </w:r>
      <w:r w:rsidR="00307691">
        <w:rPr>
          <w:rFonts w:ascii="Calibri" w:eastAsia="Calibri" w:hAnsi="Calibri" w:cs="Times New Roman"/>
          <w:sz w:val="24"/>
        </w:rPr>
        <w:t>8</w:t>
      </w:r>
      <w:r w:rsidR="00DE3720">
        <w:rPr>
          <w:rFonts w:ascii="Calibri" w:eastAsia="Calibri" w:hAnsi="Calibri" w:cs="Times New Roman"/>
          <w:sz w:val="24"/>
        </w:rPr>
        <w:t>%).</w:t>
      </w:r>
    </w:p>
    <w:p w:rsidR="003531D3" w:rsidRDefault="00DE3720" w:rsidP="00DE3720">
      <w:pPr>
        <w:spacing w:line="360" w:lineRule="auto"/>
        <w:jc w:val="both"/>
        <w:rPr>
          <w:rFonts w:ascii="Calibri" w:eastAsia="Calibri" w:hAnsi="Calibri" w:cs="Times New Roman"/>
          <w:sz w:val="24"/>
        </w:rPr>
      </w:pPr>
      <w:r>
        <w:rPr>
          <w:rFonts w:ascii="Calibri" w:eastAsia="Calibri" w:hAnsi="Calibri" w:cs="Times New Roman"/>
          <w:sz w:val="24"/>
        </w:rPr>
        <w:t xml:space="preserve">Pay TV ARPU was </w:t>
      </w:r>
      <w:r w:rsidR="002B552E">
        <w:rPr>
          <w:rFonts w:ascii="Calibri" w:eastAsia="Calibri" w:hAnsi="Calibri" w:cs="Times New Roman"/>
          <w:sz w:val="24"/>
        </w:rPr>
        <w:t xml:space="preserve">up </w:t>
      </w:r>
      <w:r w:rsidR="001E3F35">
        <w:rPr>
          <w:rFonts w:ascii="Calibri" w:eastAsia="Calibri" w:hAnsi="Calibri" w:cs="Times New Roman"/>
          <w:sz w:val="24"/>
        </w:rPr>
        <w:t xml:space="preserve">from </w:t>
      </w:r>
      <w:r w:rsidR="002B552E">
        <w:rPr>
          <w:rFonts w:ascii="Calibri" w:eastAsia="Calibri" w:hAnsi="Calibri" w:cs="Times New Roman"/>
          <w:sz w:val="24"/>
        </w:rPr>
        <w:t>€</w:t>
      </w:r>
      <w:r w:rsidR="001E3F35">
        <w:rPr>
          <w:rFonts w:ascii="Calibri" w:eastAsia="Calibri" w:hAnsi="Calibri" w:cs="Times New Roman"/>
          <w:sz w:val="24"/>
        </w:rPr>
        <w:t>44.02</w:t>
      </w:r>
      <w:r w:rsidR="002B552E">
        <w:rPr>
          <w:rFonts w:ascii="Calibri" w:eastAsia="Calibri" w:hAnsi="Calibri" w:cs="Times New Roman"/>
          <w:sz w:val="24"/>
        </w:rPr>
        <w:t xml:space="preserve"> in Q1 20</w:t>
      </w:r>
      <w:r w:rsidR="001E3F35">
        <w:rPr>
          <w:rFonts w:ascii="Calibri" w:eastAsia="Calibri" w:hAnsi="Calibri" w:cs="Times New Roman"/>
          <w:sz w:val="24"/>
        </w:rPr>
        <w:t>19</w:t>
      </w:r>
      <w:r w:rsidR="002B552E">
        <w:rPr>
          <w:rFonts w:ascii="Calibri" w:eastAsia="Calibri" w:hAnsi="Calibri" w:cs="Times New Roman"/>
          <w:sz w:val="24"/>
        </w:rPr>
        <w:t xml:space="preserve"> to €</w:t>
      </w:r>
      <w:r w:rsidR="001E3F35">
        <w:rPr>
          <w:rFonts w:ascii="Calibri" w:eastAsia="Calibri" w:hAnsi="Calibri" w:cs="Times New Roman"/>
          <w:sz w:val="24"/>
        </w:rPr>
        <w:t>50.07</w:t>
      </w:r>
      <w:r w:rsidR="002B552E">
        <w:rPr>
          <w:rFonts w:ascii="Calibri" w:eastAsia="Calibri" w:hAnsi="Calibri" w:cs="Times New Roman"/>
          <w:sz w:val="24"/>
        </w:rPr>
        <w:t xml:space="preserve"> in Q1 20</w:t>
      </w:r>
      <w:r w:rsidR="001E3F35">
        <w:rPr>
          <w:rFonts w:ascii="Calibri" w:eastAsia="Calibri" w:hAnsi="Calibri" w:cs="Times New Roman"/>
          <w:sz w:val="24"/>
        </w:rPr>
        <w:t>20</w:t>
      </w:r>
      <w:r w:rsidR="002B552E">
        <w:rPr>
          <w:rFonts w:ascii="Calibri" w:eastAsia="Calibri" w:hAnsi="Calibri" w:cs="Times New Roman"/>
          <w:sz w:val="24"/>
        </w:rPr>
        <w:t xml:space="preserve">, most likely a result of a change in the allocation of bundle revenues by service, over which local service provides enjoy full discretion. This change in trend for pay TV ARPU somewhat corresponds with the </w:t>
      </w:r>
      <w:r w:rsidR="002B552E">
        <w:rPr>
          <w:rFonts w:ascii="Calibri" w:eastAsia="Calibri" w:hAnsi="Calibri" w:cs="Times New Roman"/>
          <w:sz w:val="24"/>
        </w:rPr>
        <w:lastRenderedPageBreak/>
        <w:t>observed decline in fixed broadband ARPU, which again could indicate a change in the bundle revenue apportionment by service</w:t>
      </w:r>
      <w:r w:rsidR="00742CC4">
        <w:rPr>
          <w:rFonts w:ascii="Calibri" w:eastAsia="Calibri" w:hAnsi="Calibri" w:cs="Times New Roman"/>
          <w:sz w:val="24"/>
        </w:rPr>
        <w:t xml:space="preserve"> carried out by telecom operators</w:t>
      </w:r>
      <w:r w:rsidR="002B552E">
        <w:rPr>
          <w:rFonts w:ascii="Calibri" w:eastAsia="Calibri" w:hAnsi="Calibri" w:cs="Times New Roman"/>
          <w:sz w:val="24"/>
        </w:rPr>
        <w:t xml:space="preserve">. </w:t>
      </w:r>
    </w:p>
    <w:p w:rsidR="00755690" w:rsidRPr="00755690" w:rsidRDefault="00755690" w:rsidP="00755690">
      <w:pPr>
        <w:spacing w:line="360" w:lineRule="auto"/>
        <w:rPr>
          <w:rFonts w:ascii="Calibri" w:eastAsia="Calibri" w:hAnsi="Calibri" w:cs="Times New Roman"/>
          <w:b/>
          <w:sz w:val="24"/>
        </w:rPr>
      </w:pPr>
      <w:r w:rsidRPr="00755690">
        <w:rPr>
          <w:rFonts w:ascii="Calibri" w:eastAsia="Calibri" w:hAnsi="Calibri" w:cs="Times New Roman"/>
          <w:b/>
          <w:sz w:val="24"/>
        </w:rPr>
        <w:t xml:space="preserve">Fixed Telephony  </w:t>
      </w:r>
    </w:p>
    <w:p w:rsidR="00E2196A" w:rsidRDefault="00782E5B" w:rsidP="00755690">
      <w:pPr>
        <w:spacing w:line="360" w:lineRule="auto"/>
        <w:jc w:val="both"/>
        <w:rPr>
          <w:rFonts w:ascii="Calibri" w:eastAsia="Calibri" w:hAnsi="Calibri" w:cs="Times New Roman"/>
          <w:sz w:val="24"/>
        </w:rPr>
      </w:pPr>
      <w:r>
        <w:rPr>
          <w:rFonts w:ascii="Calibri" w:eastAsia="Calibri" w:hAnsi="Calibri" w:cs="Times New Roman"/>
          <w:sz w:val="24"/>
        </w:rPr>
        <w:t xml:space="preserve">Year-on-year growth in </w:t>
      </w:r>
      <w:r w:rsidR="00D56A44">
        <w:rPr>
          <w:rFonts w:ascii="Calibri" w:eastAsia="Calibri" w:hAnsi="Calibri" w:cs="Times New Roman"/>
          <w:sz w:val="24"/>
        </w:rPr>
        <w:t xml:space="preserve">fixed telephony </w:t>
      </w:r>
      <w:r>
        <w:rPr>
          <w:rFonts w:ascii="Calibri" w:eastAsia="Calibri" w:hAnsi="Calibri" w:cs="Times New Roman"/>
          <w:sz w:val="24"/>
        </w:rPr>
        <w:t xml:space="preserve">subscriptions stood at 1%, </w:t>
      </w:r>
      <w:r w:rsidR="005B3253">
        <w:rPr>
          <w:rFonts w:ascii="Calibri" w:eastAsia="Calibri" w:hAnsi="Calibri" w:cs="Times New Roman"/>
          <w:sz w:val="24"/>
        </w:rPr>
        <w:t xml:space="preserve">with subscriptions reaching 257,000 by the end of </w:t>
      </w:r>
      <w:r w:rsidR="00D56A44">
        <w:rPr>
          <w:rFonts w:ascii="Calibri" w:eastAsia="Calibri" w:hAnsi="Calibri" w:cs="Times New Roman"/>
          <w:sz w:val="24"/>
        </w:rPr>
        <w:t xml:space="preserve">last </w:t>
      </w:r>
      <w:r w:rsidR="005B3253">
        <w:rPr>
          <w:rFonts w:ascii="Calibri" w:eastAsia="Calibri" w:hAnsi="Calibri" w:cs="Times New Roman"/>
          <w:sz w:val="24"/>
        </w:rPr>
        <w:t xml:space="preserve">March. </w:t>
      </w:r>
      <w:r w:rsidR="008C6EEC">
        <w:rPr>
          <w:rFonts w:ascii="Calibri" w:eastAsia="Calibri" w:hAnsi="Calibri" w:cs="Times New Roman"/>
          <w:sz w:val="24"/>
        </w:rPr>
        <w:t>Whilst t</w:t>
      </w:r>
      <w:r w:rsidR="005B3253">
        <w:rPr>
          <w:rFonts w:ascii="Calibri" w:eastAsia="Calibri" w:hAnsi="Calibri" w:cs="Times New Roman"/>
          <w:sz w:val="24"/>
        </w:rPr>
        <w:t xml:space="preserve">his </w:t>
      </w:r>
      <w:r w:rsidR="008C6EEC">
        <w:rPr>
          <w:rFonts w:ascii="Calibri" w:eastAsia="Calibri" w:hAnsi="Calibri" w:cs="Times New Roman"/>
          <w:sz w:val="24"/>
        </w:rPr>
        <w:t xml:space="preserve">development </w:t>
      </w:r>
      <w:r w:rsidR="005B3253">
        <w:rPr>
          <w:rFonts w:ascii="Calibri" w:eastAsia="Calibri" w:hAnsi="Calibri" w:cs="Times New Roman"/>
          <w:sz w:val="24"/>
        </w:rPr>
        <w:t xml:space="preserve">is in line with </w:t>
      </w:r>
      <w:r w:rsidR="008C6EEC">
        <w:rPr>
          <w:rFonts w:ascii="Calibri" w:eastAsia="Calibri" w:hAnsi="Calibri" w:cs="Times New Roman"/>
          <w:sz w:val="24"/>
        </w:rPr>
        <w:t xml:space="preserve">take-up trends </w:t>
      </w:r>
      <w:r w:rsidR="005B3253">
        <w:rPr>
          <w:rFonts w:ascii="Calibri" w:eastAsia="Calibri" w:hAnsi="Calibri" w:cs="Times New Roman"/>
          <w:sz w:val="24"/>
        </w:rPr>
        <w:t>observed in recent years,</w:t>
      </w:r>
      <w:r w:rsidR="008C6EEC">
        <w:rPr>
          <w:rFonts w:ascii="Calibri" w:eastAsia="Calibri" w:hAnsi="Calibri" w:cs="Times New Roman"/>
          <w:sz w:val="24"/>
        </w:rPr>
        <w:t xml:space="preserve"> the decline in fixed telephony usage levels seems instead to have accelerated. In fact, when comparing fixed voice call usage in Q1 2020 with that in Q1 2019, the number of voice calls and voice call minutes was each down by some 20%</w:t>
      </w:r>
      <w:r w:rsidR="00274F59">
        <w:rPr>
          <w:rFonts w:ascii="Calibri" w:eastAsia="Calibri" w:hAnsi="Calibri" w:cs="Times New Roman"/>
          <w:sz w:val="24"/>
        </w:rPr>
        <w:t xml:space="preserve"> (in absolute terms translating into</w:t>
      </w:r>
      <w:r w:rsidR="008C6EEC">
        <w:rPr>
          <w:rFonts w:ascii="Calibri" w:eastAsia="Calibri" w:hAnsi="Calibri" w:cs="Times New Roman"/>
          <w:sz w:val="24"/>
        </w:rPr>
        <w:t xml:space="preserve"> </w:t>
      </w:r>
      <w:r w:rsidR="00274F59">
        <w:rPr>
          <w:rFonts w:ascii="Calibri" w:eastAsia="Calibri" w:hAnsi="Calibri" w:cs="Times New Roman"/>
          <w:sz w:val="24"/>
        </w:rPr>
        <w:t>a drop of 5.4 million calls and 20.5 million voice call minutes)</w:t>
      </w:r>
      <w:r w:rsidR="008C6EEC">
        <w:rPr>
          <w:rFonts w:ascii="Calibri" w:eastAsia="Calibri" w:hAnsi="Calibri" w:cs="Times New Roman"/>
          <w:sz w:val="24"/>
        </w:rPr>
        <w:t xml:space="preserve">. </w:t>
      </w:r>
    </w:p>
    <w:p w:rsidR="00E2196A" w:rsidRDefault="008C6EEC" w:rsidP="00755690">
      <w:pPr>
        <w:spacing w:line="360" w:lineRule="auto"/>
        <w:jc w:val="both"/>
        <w:rPr>
          <w:rFonts w:ascii="Calibri" w:eastAsia="Calibri" w:hAnsi="Calibri" w:cs="Times New Roman"/>
          <w:sz w:val="24"/>
        </w:rPr>
      </w:pPr>
      <w:r>
        <w:rPr>
          <w:rFonts w:ascii="Calibri" w:eastAsia="Calibri" w:hAnsi="Calibri" w:cs="Times New Roman"/>
          <w:sz w:val="24"/>
        </w:rPr>
        <w:t xml:space="preserve">This again reinforces the view that fixed telephony is being purchased more as a result of its inclusion in bundles alongside fixed broadband than as a result of its voice calling facilities. </w:t>
      </w:r>
      <w:r w:rsidR="00E2196A">
        <w:rPr>
          <w:rFonts w:ascii="Calibri" w:eastAsia="Calibri" w:hAnsi="Calibri" w:cs="Times New Roman"/>
          <w:sz w:val="24"/>
        </w:rPr>
        <w:t xml:space="preserve">Of note is that almost 81% of all fixed telephony subscriptions at the end of March were purchased in a bundle. </w:t>
      </w:r>
      <w:r>
        <w:rPr>
          <w:rFonts w:ascii="Calibri" w:eastAsia="Calibri" w:hAnsi="Calibri" w:cs="Times New Roman"/>
          <w:sz w:val="24"/>
        </w:rPr>
        <w:t>Th</w:t>
      </w:r>
      <w:r w:rsidR="00E2196A">
        <w:rPr>
          <w:rFonts w:ascii="Calibri" w:eastAsia="Calibri" w:hAnsi="Calibri" w:cs="Times New Roman"/>
          <w:sz w:val="24"/>
        </w:rPr>
        <w:t>e above also suggests th</w:t>
      </w:r>
      <w:r>
        <w:rPr>
          <w:rFonts w:ascii="Calibri" w:eastAsia="Calibri" w:hAnsi="Calibri" w:cs="Times New Roman"/>
          <w:sz w:val="24"/>
        </w:rPr>
        <w:t>at notwithstanding the rising prevalence of fixed telephony on post-paid and bundle contracts, people are more inclined to use the mobile telephony service for communication purposes.</w:t>
      </w:r>
    </w:p>
    <w:p w:rsidR="00C124A4" w:rsidRDefault="00E2196A" w:rsidP="00755690">
      <w:pPr>
        <w:spacing w:line="360" w:lineRule="auto"/>
        <w:jc w:val="both"/>
        <w:rPr>
          <w:rFonts w:ascii="Calibri" w:eastAsia="Calibri" w:hAnsi="Calibri" w:cs="Times New Roman"/>
          <w:sz w:val="24"/>
        </w:rPr>
      </w:pPr>
      <w:r>
        <w:rPr>
          <w:rFonts w:ascii="Calibri" w:eastAsia="Calibri" w:hAnsi="Calibri" w:cs="Times New Roman"/>
          <w:sz w:val="24"/>
        </w:rPr>
        <w:t xml:space="preserve">In view of the above usage developments, fixed telephony ARPU in Q1 2020 stood at €29.99, down from €31.49 in Q1 2019. </w:t>
      </w:r>
    </w:p>
    <w:p w:rsidR="000E0E58" w:rsidRPr="000E0E58" w:rsidRDefault="000E0E58" w:rsidP="000E0E58">
      <w:pPr>
        <w:spacing w:line="360" w:lineRule="auto"/>
        <w:jc w:val="both"/>
        <w:rPr>
          <w:rFonts w:ascii="Calibri" w:eastAsia="Calibri" w:hAnsi="Calibri" w:cs="Times New Roman"/>
          <w:b/>
          <w:sz w:val="24"/>
        </w:rPr>
      </w:pPr>
      <w:r w:rsidRPr="000E0E58">
        <w:rPr>
          <w:rFonts w:ascii="Calibri" w:eastAsia="Calibri" w:hAnsi="Calibri" w:cs="Times New Roman"/>
          <w:b/>
          <w:sz w:val="24"/>
        </w:rPr>
        <w:t>Dedicated connections</w:t>
      </w:r>
    </w:p>
    <w:p w:rsidR="000E0E58" w:rsidRPr="000E0E58" w:rsidRDefault="000E0E58" w:rsidP="000E0E58">
      <w:pPr>
        <w:spacing w:line="360" w:lineRule="auto"/>
        <w:jc w:val="both"/>
        <w:rPr>
          <w:rFonts w:ascii="Calibri" w:eastAsia="Calibri" w:hAnsi="Calibri" w:cs="Times New Roman"/>
          <w:sz w:val="24"/>
        </w:rPr>
      </w:pPr>
      <w:r w:rsidRPr="000E0E58">
        <w:rPr>
          <w:rFonts w:ascii="Calibri" w:eastAsia="Calibri" w:hAnsi="Calibri" w:cs="Times New Roman"/>
          <w:sz w:val="24"/>
        </w:rPr>
        <w:t>By definition dedicated connections are a high-quality, dedicated, point-to-point data transmission connections used by businesses operating in Malta, such as banks, gaming companies and government entities.</w:t>
      </w:r>
    </w:p>
    <w:p w:rsidR="000E0E58" w:rsidRPr="000E0E58" w:rsidRDefault="000E0E58" w:rsidP="000E0E58">
      <w:pPr>
        <w:spacing w:line="360" w:lineRule="auto"/>
        <w:jc w:val="both"/>
        <w:rPr>
          <w:rFonts w:ascii="Calibri" w:eastAsia="Calibri" w:hAnsi="Calibri" w:cs="Times New Roman"/>
          <w:sz w:val="24"/>
        </w:rPr>
      </w:pPr>
      <w:r w:rsidRPr="000E0E58">
        <w:rPr>
          <w:rFonts w:ascii="Calibri" w:eastAsia="Calibri" w:hAnsi="Calibri" w:cs="Times New Roman"/>
          <w:sz w:val="24"/>
        </w:rPr>
        <w:t xml:space="preserve">This is a niche </w:t>
      </w:r>
      <w:r w:rsidR="00572B7F">
        <w:rPr>
          <w:rFonts w:ascii="Calibri" w:eastAsia="Calibri" w:hAnsi="Calibri" w:cs="Times New Roman"/>
          <w:sz w:val="24"/>
        </w:rPr>
        <w:t xml:space="preserve">business </w:t>
      </w:r>
      <w:r w:rsidRPr="000E0E58">
        <w:rPr>
          <w:rFonts w:ascii="Calibri" w:eastAsia="Calibri" w:hAnsi="Calibri" w:cs="Times New Roman"/>
          <w:sz w:val="24"/>
        </w:rPr>
        <w:t xml:space="preserve">segment </w:t>
      </w:r>
      <w:r w:rsidR="00572B7F">
        <w:rPr>
          <w:rFonts w:ascii="Calibri" w:eastAsia="Calibri" w:hAnsi="Calibri" w:cs="Times New Roman"/>
          <w:sz w:val="24"/>
        </w:rPr>
        <w:t xml:space="preserve">for local telecom operators </w:t>
      </w:r>
      <w:r w:rsidRPr="000E0E58">
        <w:rPr>
          <w:rFonts w:ascii="Calibri" w:eastAsia="Calibri" w:hAnsi="Calibri" w:cs="Times New Roman"/>
          <w:sz w:val="24"/>
        </w:rPr>
        <w:t xml:space="preserve">representing </w:t>
      </w:r>
      <w:r w:rsidR="002B552E">
        <w:rPr>
          <w:rFonts w:ascii="Calibri" w:eastAsia="Calibri" w:hAnsi="Calibri" w:cs="Times New Roman"/>
          <w:sz w:val="24"/>
        </w:rPr>
        <w:t xml:space="preserve">a relatively small number of users with somewhat distinct data connectivity requirements to those exhibited by the mass market for fixed broadband. A total of 379 high-quality data connections were reported by the end of March 2020, 22% less than recorded twelve months earlier. This does not in itself mean that telecom operators lost for good the clients behind the reneged subscriptions. It may be the case that the respective clients migrated to one of the </w:t>
      </w:r>
      <w:r w:rsidRPr="000E0E58">
        <w:rPr>
          <w:rFonts w:ascii="Calibri" w:eastAsia="Calibri" w:hAnsi="Calibri" w:cs="Times New Roman"/>
          <w:sz w:val="24"/>
        </w:rPr>
        <w:t>myriad solutions that may be offered by local service providers but which do not fall within the description of dedicated connections addressed in this publication.</w:t>
      </w:r>
    </w:p>
    <w:p w:rsidR="000C3B7D" w:rsidRDefault="000C3B7D" w:rsidP="00443D04">
      <w:pPr>
        <w:spacing w:line="360" w:lineRule="auto"/>
        <w:jc w:val="both"/>
        <w:rPr>
          <w:rFonts w:ascii="Calibri" w:eastAsia="Calibri" w:hAnsi="Calibri" w:cs="Times New Roman"/>
          <w:b/>
          <w:sz w:val="24"/>
        </w:rPr>
      </w:pPr>
      <w:r w:rsidRPr="000C3B7D">
        <w:rPr>
          <w:rFonts w:ascii="Calibri" w:eastAsia="Calibri" w:hAnsi="Calibri" w:cs="Times New Roman"/>
          <w:b/>
          <w:sz w:val="24"/>
        </w:rPr>
        <w:lastRenderedPageBreak/>
        <w:t xml:space="preserve">Post </w:t>
      </w:r>
    </w:p>
    <w:p w:rsidR="00DE3720" w:rsidRDefault="00CD5921" w:rsidP="00443D04">
      <w:pPr>
        <w:spacing w:line="360" w:lineRule="auto"/>
        <w:jc w:val="both"/>
        <w:rPr>
          <w:rFonts w:ascii="Calibri" w:eastAsia="Calibri" w:hAnsi="Calibri" w:cs="Times New Roman"/>
          <w:sz w:val="24"/>
        </w:rPr>
      </w:pPr>
      <w:r>
        <w:rPr>
          <w:rFonts w:ascii="Calibri" w:eastAsia="Calibri" w:hAnsi="Calibri" w:cs="Times New Roman"/>
          <w:sz w:val="24"/>
        </w:rPr>
        <w:t>The onset of COVID-19 did not inflict immediate shocks on the postal segment</w:t>
      </w:r>
      <w:r w:rsidR="00D56A44">
        <w:rPr>
          <w:rFonts w:ascii="Calibri" w:eastAsia="Calibri" w:hAnsi="Calibri" w:cs="Times New Roman"/>
          <w:sz w:val="24"/>
        </w:rPr>
        <w:t>. Indeed,</w:t>
      </w:r>
      <w:r>
        <w:rPr>
          <w:rFonts w:ascii="Calibri" w:eastAsia="Calibri" w:hAnsi="Calibri" w:cs="Times New Roman"/>
          <w:sz w:val="24"/>
        </w:rPr>
        <w:t xml:space="preserve"> the full ramifications of the pandemic </w:t>
      </w:r>
      <w:r w:rsidR="00A36C97">
        <w:rPr>
          <w:rFonts w:ascii="Calibri" w:eastAsia="Calibri" w:hAnsi="Calibri" w:cs="Times New Roman"/>
          <w:sz w:val="24"/>
        </w:rPr>
        <w:t xml:space="preserve">would likely get </w:t>
      </w:r>
      <w:r>
        <w:rPr>
          <w:rFonts w:ascii="Calibri" w:eastAsia="Calibri" w:hAnsi="Calibri" w:cs="Times New Roman"/>
          <w:sz w:val="24"/>
        </w:rPr>
        <w:t xml:space="preserve">more </w:t>
      </w:r>
      <w:r w:rsidR="00A36C97">
        <w:rPr>
          <w:rFonts w:ascii="Calibri" w:eastAsia="Calibri" w:hAnsi="Calibri" w:cs="Times New Roman"/>
          <w:sz w:val="24"/>
        </w:rPr>
        <w:t xml:space="preserve">evident </w:t>
      </w:r>
      <w:r>
        <w:rPr>
          <w:rFonts w:ascii="Calibri" w:eastAsia="Calibri" w:hAnsi="Calibri" w:cs="Times New Roman"/>
          <w:sz w:val="24"/>
        </w:rPr>
        <w:t xml:space="preserve">once </w:t>
      </w:r>
      <w:r w:rsidR="00A36C97">
        <w:rPr>
          <w:rFonts w:ascii="Calibri" w:eastAsia="Calibri" w:hAnsi="Calibri" w:cs="Times New Roman"/>
          <w:sz w:val="24"/>
        </w:rPr>
        <w:t>the data for t</w:t>
      </w:r>
      <w:r>
        <w:rPr>
          <w:rFonts w:ascii="Calibri" w:eastAsia="Calibri" w:hAnsi="Calibri" w:cs="Times New Roman"/>
          <w:sz w:val="24"/>
        </w:rPr>
        <w:t>he second and third quarters of this year</w:t>
      </w:r>
      <w:r w:rsidR="00A36C97">
        <w:rPr>
          <w:rFonts w:ascii="Calibri" w:eastAsia="Calibri" w:hAnsi="Calibri" w:cs="Times New Roman"/>
          <w:sz w:val="24"/>
        </w:rPr>
        <w:t xml:space="preserve"> is available. Overall, m</w:t>
      </w:r>
      <w:r>
        <w:rPr>
          <w:rFonts w:ascii="Calibri" w:eastAsia="Calibri" w:hAnsi="Calibri" w:cs="Times New Roman"/>
          <w:sz w:val="24"/>
        </w:rPr>
        <w:t xml:space="preserve">ail volumes </w:t>
      </w:r>
      <w:r w:rsidR="00A36C97">
        <w:rPr>
          <w:rFonts w:ascii="Calibri" w:eastAsia="Calibri" w:hAnsi="Calibri" w:cs="Times New Roman"/>
          <w:sz w:val="24"/>
        </w:rPr>
        <w:t>in</w:t>
      </w:r>
      <w:r>
        <w:rPr>
          <w:rFonts w:ascii="Calibri" w:eastAsia="Calibri" w:hAnsi="Calibri" w:cs="Times New Roman"/>
          <w:sz w:val="24"/>
        </w:rPr>
        <w:t xml:space="preserve"> Q1 2020 </w:t>
      </w:r>
      <w:r w:rsidR="00A36C97">
        <w:rPr>
          <w:rFonts w:ascii="Calibri" w:eastAsia="Calibri" w:hAnsi="Calibri" w:cs="Times New Roman"/>
          <w:sz w:val="24"/>
        </w:rPr>
        <w:t xml:space="preserve">were down by 0.4% </w:t>
      </w:r>
      <w:r>
        <w:rPr>
          <w:rFonts w:ascii="Calibri" w:eastAsia="Calibri" w:hAnsi="Calibri" w:cs="Times New Roman"/>
          <w:sz w:val="24"/>
        </w:rPr>
        <w:t xml:space="preserve">compared to </w:t>
      </w:r>
      <w:r w:rsidR="00A36C97">
        <w:rPr>
          <w:rFonts w:ascii="Calibri" w:eastAsia="Calibri" w:hAnsi="Calibri" w:cs="Times New Roman"/>
          <w:sz w:val="24"/>
        </w:rPr>
        <w:t xml:space="preserve">mail volumes in </w:t>
      </w:r>
      <w:r>
        <w:rPr>
          <w:rFonts w:ascii="Calibri" w:eastAsia="Calibri" w:hAnsi="Calibri" w:cs="Times New Roman"/>
          <w:sz w:val="24"/>
        </w:rPr>
        <w:t xml:space="preserve">the same quarter </w:t>
      </w:r>
      <w:r w:rsidR="00A36C97">
        <w:rPr>
          <w:rFonts w:ascii="Calibri" w:eastAsia="Calibri" w:hAnsi="Calibri" w:cs="Times New Roman"/>
          <w:sz w:val="24"/>
        </w:rPr>
        <w:t>of 2019</w:t>
      </w:r>
      <w:r>
        <w:rPr>
          <w:rFonts w:ascii="Calibri" w:eastAsia="Calibri" w:hAnsi="Calibri" w:cs="Times New Roman"/>
          <w:sz w:val="24"/>
        </w:rPr>
        <w:t xml:space="preserve">. </w:t>
      </w:r>
    </w:p>
    <w:p w:rsidR="00A55F90" w:rsidRDefault="00C17C9A" w:rsidP="00443D04">
      <w:pPr>
        <w:spacing w:line="360" w:lineRule="auto"/>
        <w:jc w:val="both"/>
        <w:rPr>
          <w:rFonts w:ascii="Calibri" w:eastAsia="Calibri" w:hAnsi="Calibri" w:cs="Times New Roman"/>
          <w:sz w:val="24"/>
        </w:rPr>
      </w:pPr>
      <w:r>
        <w:rPr>
          <w:rFonts w:ascii="Calibri" w:eastAsia="Calibri" w:hAnsi="Calibri" w:cs="Times New Roman"/>
          <w:sz w:val="24"/>
        </w:rPr>
        <w:t xml:space="preserve">The </w:t>
      </w:r>
      <w:r w:rsidR="00DE3720">
        <w:rPr>
          <w:rFonts w:ascii="Calibri" w:eastAsia="Calibri" w:hAnsi="Calibri" w:cs="Times New Roman"/>
          <w:sz w:val="24"/>
        </w:rPr>
        <w:t>decline was sprea</w:t>
      </w:r>
      <w:r w:rsidR="00443D04">
        <w:rPr>
          <w:rFonts w:ascii="Calibri" w:eastAsia="Calibri" w:hAnsi="Calibri" w:cs="Times New Roman"/>
          <w:sz w:val="24"/>
        </w:rPr>
        <w:t xml:space="preserve">d across </w:t>
      </w:r>
      <w:r w:rsidR="00A55F90">
        <w:rPr>
          <w:rFonts w:ascii="Calibri" w:eastAsia="Calibri" w:hAnsi="Calibri" w:cs="Times New Roman"/>
          <w:sz w:val="24"/>
        </w:rPr>
        <w:t>two</w:t>
      </w:r>
      <w:r w:rsidR="00443D04">
        <w:rPr>
          <w:rFonts w:ascii="Calibri" w:eastAsia="Calibri" w:hAnsi="Calibri" w:cs="Times New Roman"/>
          <w:sz w:val="24"/>
        </w:rPr>
        <w:t xml:space="preserve"> types</w:t>
      </w:r>
      <w:r w:rsidR="00DE3720">
        <w:rPr>
          <w:rFonts w:ascii="Calibri" w:eastAsia="Calibri" w:hAnsi="Calibri" w:cs="Times New Roman"/>
          <w:sz w:val="24"/>
        </w:rPr>
        <w:t xml:space="preserve"> of postal mail activity, </w:t>
      </w:r>
      <w:r w:rsidR="00A55F90">
        <w:rPr>
          <w:rFonts w:ascii="Calibri" w:eastAsia="Calibri" w:hAnsi="Calibri" w:cs="Times New Roman"/>
          <w:sz w:val="24"/>
        </w:rPr>
        <w:t xml:space="preserve">namely standard letter </w:t>
      </w:r>
      <w:r w:rsidR="00DE3720">
        <w:rPr>
          <w:rFonts w:ascii="Calibri" w:eastAsia="Calibri" w:hAnsi="Calibri" w:cs="Times New Roman"/>
          <w:sz w:val="24"/>
        </w:rPr>
        <w:t>mail</w:t>
      </w:r>
      <w:r w:rsidR="00A55F90">
        <w:rPr>
          <w:rFonts w:ascii="Calibri" w:eastAsia="Calibri" w:hAnsi="Calibri" w:cs="Times New Roman"/>
          <w:sz w:val="24"/>
        </w:rPr>
        <w:t xml:space="preserve"> and the closely linked registered letter mail. Here, mail volumes were down by 17% and 26% respectively. A surge in mail activity did however materialise for </w:t>
      </w:r>
      <w:r>
        <w:rPr>
          <w:rFonts w:ascii="Calibri" w:eastAsia="Calibri" w:hAnsi="Calibri" w:cs="Times New Roman"/>
          <w:sz w:val="24"/>
        </w:rPr>
        <w:t>bulk mail and parcel mail</w:t>
      </w:r>
      <w:r w:rsidR="00A55F90">
        <w:rPr>
          <w:rFonts w:ascii="Calibri" w:eastAsia="Calibri" w:hAnsi="Calibri" w:cs="Times New Roman"/>
          <w:sz w:val="24"/>
        </w:rPr>
        <w:t xml:space="preserve"> (more specifically domestic parcel mail), with mail volumes jumping by 10% and 46% respectively. Of course, local commercial deliveries spiked during the last two weeks of March once people got more cautious in venturing out from their homes and realised the value of having purchase mailed directly at their residence.  </w:t>
      </w:r>
    </w:p>
    <w:p w:rsidR="00C17C9A" w:rsidRDefault="00A55F90" w:rsidP="00443D04">
      <w:pPr>
        <w:spacing w:line="360" w:lineRule="auto"/>
        <w:jc w:val="both"/>
        <w:rPr>
          <w:rFonts w:ascii="Calibri" w:eastAsia="Calibri" w:hAnsi="Calibri" w:cs="Times New Roman"/>
          <w:sz w:val="24"/>
        </w:rPr>
      </w:pPr>
      <w:r>
        <w:rPr>
          <w:rFonts w:ascii="Calibri" w:eastAsia="Calibri" w:hAnsi="Calibri" w:cs="Times New Roman"/>
          <w:sz w:val="24"/>
        </w:rPr>
        <w:t>On the other hand, the more chaotic developments on the aviation front did however hinder inbound and outbound postal mail activity. In fact, t</w:t>
      </w:r>
      <w:r w:rsidR="00DE3720">
        <w:rPr>
          <w:rFonts w:ascii="Calibri" w:eastAsia="Calibri" w:hAnsi="Calibri" w:cs="Times New Roman"/>
          <w:sz w:val="24"/>
        </w:rPr>
        <w:t xml:space="preserve">aking into account mail volumes by destination, </w:t>
      </w:r>
      <w:r>
        <w:rPr>
          <w:rFonts w:ascii="Calibri" w:eastAsia="Calibri" w:hAnsi="Calibri" w:cs="Times New Roman"/>
          <w:sz w:val="24"/>
        </w:rPr>
        <w:t>inbound</w:t>
      </w:r>
      <w:r w:rsidR="00DE3720">
        <w:rPr>
          <w:rFonts w:ascii="Calibri" w:eastAsia="Calibri" w:hAnsi="Calibri" w:cs="Times New Roman"/>
          <w:sz w:val="24"/>
        </w:rPr>
        <w:t xml:space="preserve"> and outbound cross border mail volumes were down by </w:t>
      </w:r>
      <w:r>
        <w:rPr>
          <w:rFonts w:ascii="Calibri" w:eastAsia="Calibri" w:hAnsi="Calibri" w:cs="Times New Roman"/>
          <w:sz w:val="24"/>
        </w:rPr>
        <w:t>19</w:t>
      </w:r>
      <w:r w:rsidR="00DE3720">
        <w:rPr>
          <w:rFonts w:ascii="Calibri" w:eastAsia="Calibri" w:hAnsi="Calibri" w:cs="Times New Roman"/>
          <w:sz w:val="24"/>
        </w:rPr>
        <w:t>% and 1</w:t>
      </w:r>
      <w:r>
        <w:rPr>
          <w:rFonts w:ascii="Calibri" w:eastAsia="Calibri" w:hAnsi="Calibri" w:cs="Times New Roman"/>
          <w:sz w:val="24"/>
        </w:rPr>
        <w:t>8</w:t>
      </w:r>
      <w:r w:rsidR="00DE3720">
        <w:rPr>
          <w:rFonts w:ascii="Calibri" w:eastAsia="Calibri" w:hAnsi="Calibri" w:cs="Times New Roman"/>
          <w:sz w:val="24"/>
        </w:rPr>
        <w:t>% respectively year-on-year</w:t>
      </w:r>
      <w:r>
        <w:rPr>
          <w:rFonts w:ascii="Calibri" w:eastAsia="Calibri" w:hAnsi="Calibri" w:cs="Times New Roman"/>
          <w:sz w:val="24"/>
        </w:rPr>
        <w:t xml:space="preserve"> (i.e. comparing Q1 2020 with Q1 2019)</w:t>
      </w:r>
      <w:r w:rsidR="00DE3720">
        <w:rPr>
          <w:rFonts w:ascii="Calibri" w:eastAsia="Calibri" w:hAnsi="Calibri" w:cs="Times New Roman"/>
          <w:sz w:val="24"/>
        </w:rPr>
        <w:t xml:space="preserve">, whilst </w:t>
      </w:r>
      <w:r>
        <w:rPr>
          <w:rFonts w:ascii="Calibri" w:eastAsia="Calibri" w:hAnsi="Calibri" w:cs="Times New Roman"/>
          <w:sz w:val="24"/>
        </w:rPr>
        <w:t>domestic</w:t>
      </w:r>
      <w:r w:rsidR="00DE3720" w:rsidRPr="00DE3720">
        <w:rPr>
          <w:rFonts w:ascii="Calibri" w:eastAsia="Calibri" w:hAnsi="Calibri" w:cs="Times New Roman"/>
          <w:sz w:val="24"/>
        </w:rPr>
        <w:t xml:space="preserve"> </w:t>
      </w:r>
      <w:r w:rsidR="00DE3720">
        <w:rPr>
          <w:rFonts w:ascii="Calibri" w:eastAsia="Calibri" w:hAnsi="Calibri" w:cs="Times New Roman"/>
          <w:sz w:val="24"/>
        </w:rPr>
        <w:t xml:space="preserve">mail </w:t>
      </w:r>
      <w:r w:rsidR="00DE3720" w:rsidRPr="00DE3720">
        <w:rPr>
          <w:rFonts w:ascii="Calibri" w:eastAsia="Calibri" w:hAnsi="Calibri" w:cs="Times New Roman"/>
          <w:sz w:val="24"/>
        </w:rPr>
        <w:t>volumes</w:t>
      </w:r>
      <w:r w:rsidR="00DE3720">
        <w:rPr>
          <w:rFonts w:ascii="Calibri" w:eastAsia="Calibri" w:hAnsi="Calibri" w:cs="Times New Roman"/>
          <w:sz w:val="24"/>
        </w:rPr>
        <w:t xml:space="preserve"> were up by </w:t>
      </w:r>
      <w:r>
        <w:rPr>
          <w:rFonts w:ascii="Calibri" w:eastAsia="Calibri" w:hAnsi="Calibri" w:cs="Times New Roman"/>
          <w:sz w:val="24"/>
        </w:rPr>
        <w:t>6</w:t>
      </w:r>
      <w:r w:rsidR="00DE3720">
        <w:rPr>
          <w:rFonts w:ascii="Calibri" w:eastAsia="Calibri" w:hAnsi="Calibri" w:cs="Times New Roman"/>
          <w:sz w:val="24"/>
        </w:rPr>
        <w:t>%.</w:t>
      </w:r>
    </w:p>
    <w:p w:rsidR="00B90341" w:rsidRPr="00B90341" w:rsidRDefault="00B90341" w:rsidP="00B90341">
      <w:pPr>
        <w:pBdr>
          <w:bottom w:val="single" w:sz="6" w:space="1" w:color="auto"/>
        </w:pBdr>
        <w:spacing w:line="360" w:lineRule="auto"/>
        <w:rPr>
          <w:rFonts w:ascii="Calibri" w:eastAsia="Calibri" w:hAnsi="Calibri" w:cs="Times New Roman"/>
          <w:b/>
          <w:sz w:val="24"/>
        </w:rPr>
      </w:pPr>
      <w:r w:rsidRPr="00B90341">
        <w:rPr>
          <w:rFonts w:ascii="Calibri" w:eastAsia="Calibri" w:hAnsi="Calibri" w:cs="Times New Roman"/>
          <w:b/>
          <w:sz w:val="24"/>
        </w:rPr>
        <w:t>Notes:</w:t>
      </w:r>
    </w:p>
    <w:p w:rsidR="001938D9" w:rsidRPr="001938D9" w:rsidRDefault="00B90341" w:rsidP="001938D9">
      <w:pPr>
        <w:pStyle w:val="ListParagraph"/>
        <w:numPr>
          <w:ilvl w:val="0"/>
          <w:numId w:val="4"/>
        </w:numPr>
        <w:tabs>
          <w:tab w:val="left" w:pos="720"/>
        </w:tabs>
        <w:ind w:hanging="1440"/>
      </w:pPr>
      <w:r w:rsidRPr="001938D9">
        <w:rPr>
          <w:rFonts w:ascii="Calibri" w:eastAsia="Calibri" w:hAnsi="Calibri" w:cs="Times New Roman"/>
          <w:sz w:val="24"/>
        </w:rPr>
        <w:t xml:space="preserve">Data cut-off date: </w:t>
      </w:r>
      <w:r w:rsidR="00A55F90">
        <w:rPr>
          <w:rFonts w:ascii="Calibri" w:eastAsia="Calibri" w:hAnsi="Calibri" w:cs="Times New Roman"/>
          <w:sz w:val="24"/>
        </w:rPr>
        <w:t>27</w:t>
      </w:r>
      <w:r w:rsidRPr="001938D9">
        <w:rPr>
          <w:rFonts w:ascii="Calibri" w:eastAsia="Calibri" w:hAnsi="Calibri" w:cs="Times New Roman"/>
          <w:sz w:val="24"/>
          <w:vertAlign w:val="superscript"/>
        </w:rPr>
        <w:t>th</w:t>
      </w:r>
      <w:r w:rsidRPr="001938D9">
        <w:rPr>
          <w:rFonts w:ascii="Calibri" w:eastAsia="Calibri" w:hAnsi="Calibri" w:cs="Times New Roman"/>
          <w:sz w:val="24"/>
        </w:rPr>
        <w:t xml:space="preserve"> </w:t>
      </w:r>
      <w:r w:rsidR="00A55F90">
        <w:rPr>
          <w:rFonts w:ascii="Calibri" w:eastAsia="Calibri" w:hAnsi="Calibri" w:cs="Times New Roman"/>
          <w:sz w:val="24"/>
        </w:rPr>
        <w:t xml:space="preserve">July </w:t>
      </w:r>
      <w:r w:rsidRPr="001938D9">
        <w:rPr>
          <w:rFonts w:ascii="Calibri" w:eastAsia="Calibri" w:hAnsi="Calibri" w:cs="Times New Roman"/>
          <w:sz w:val="24"/>
        </w:rPr>
        <w:t xml:space="preserve">2020; </w:t>
      </w:r>
    </w:p>
    <w:p w:rsidR="00B90341" w:rsidRPr="001938D9" w:rsidRDefault="00B90341" w:rsidP="001938D9">
      <w:pPr>
        <w:pStyle w:val="ListParagraph"/>
        <w:numPr>
          <w:ilvl w:val="0"/>
          <w:numId w:val="4"/>
        </w:numPr>
        <w:tabs>
          <w:tab w:val="left" w:pos="720"/>
        </w:tabs>
        <w:ind w:hanging="1440"/>
      </w:pPr>
      <w:r w:rsidRPr="001938D9">
        <w:rPr>
          <w:rFonts w:ascii="Calibri" w:eastAsia="Calibri" w:hAnsi="Calibri" w:cs="Times New Roman"/>
          <w:sz w:val="24"/>
        </w:rPr>
        <w:t xml:space="preserve">Data is preliminary and subject to change. </w:t>
      </w:r>
    </w:p>
    <w:p w:rsidR="00B90341" w:rsidRPr="00044E3B" w:rsidRDefault="00B90341" w:rsidP="00B90341">
      <w:pPr>
        <w:spacing w:line="360" w:lineRule="auto"/>
        <w:rPr>
          <w:rFonts w:ascii="Calibri" w:eastAsia="Calibri" w:hAnsi="Calibri" w:cs="Times New Roman"/>
          <w:b/>
          <w:sz w:val="24"/>
        </w:rPr>
      </w:pPr>
    </w:p>
    <w:p w:rsidR="000C3B7D" w:rsidRPr="003F5D27" w:rsidRDefault="000C3B7D" w:rsidP="00B90341">
      <w:pPr>
        <w:spacing w:line="360" w:lineRule="auto"/>
        <w:rPr>
          <w:rFonts w:ascii="Calibri" w:eastAsia="Calibri" w:hAnsi="Calibri" w:cs="Times New Roman"/>
          <w:sz w:val="24"/>
        </w:rPr>
      </w:pPr>
    </w:p>
    <w:p w:rsidR="00442C27" w:rsidRDefault="00442C27" w:rsidP="00B90341">
      <w:pPr>
        <w:spacing w:line="360" w:lineRule="auto"/>
        <w:rPr>
          <w:rFonts w:ascii="Calibri" w:eastAsia="Calibri" w:hAnsi="Calibri" w:cs="Times New Roman"/>
          <w:sz w:val="24"/>
        </w:rPr>
      </w:pPr>
      <w:r>
        <w:rPr>
          <w:rFonts w:ascii="Calibri" w:eastAsia="Calibri" w:hAnsi="Calibri" w:cs="Times New Roman"/>
          <w:sz w:val="24"/>
        </w:rPr>
        <w:t xml:space="preserve">  </w:t>
      </w:r>
    </w:p>
    <w:p w:rsidR="00BD1EEA" w:rsidRPr="001139DD" w:rsidRDefault="00BD1EEA" w:rsidP="00B90341">
      <w:pPr>
        <w:spacing w:line="360" w:lineRule="auto"/>
        <w:rPr>
          <w:rFonts w:ascii="Calibri" w:eastAsia="Calibri" w:hAnsi="Calibri" w:cs="Times New Roman"/>
          <w:sz w:val="24"/>
        </w:rPr>
      </w:pPr>
    </w:p>
    <w:sectPr w:rsidR="00BD1EEA" w:rsidRPr="001139DD">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3AFA" w:rsidRDefault="00EE3AFA" w:rsidP="001938D9">
      <w:pPr>
        <w:spacing w:after="0" w:line="240" w:lineRule="auto"/>
      </w:pPr>
      <w:r>
        <w:separator/>
      </w:r>
    </w:p>
  </w:endnote>
  <w:endnote w:type="continuationSeparator" w:id="0">
    <w:p w:rsidR="00EE3AFA" w:rsidRDefault="00EE3AFA" w:rsidP="001938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707347"/>
      <w:docPartObj>
        <w:docPartGallery w:val="Page Numbers (Bottom of Page)"/>
        <w:docPartUnique/>
      </w:docPartObj>
    </w:sdtPr>
    <w:sdtEndPr>
      <w:rPr>
        <w:noProof/>
      </w:rPr>
    </w:sdtEndPr>
    <w:sdtContent>
      <w:p w:rsidR="0027487C" w:rsidRDefault="0027487C">
        <w:pPr>
          <w:pStyle w:val="Footer"/>
          <w:jc w:val="right"/>
        </w:pPr>
        <w:r>
          <w:fldChar w:fldCharType="begin"/>
        </w:r>
        <w:r>
          <w:instrText xml:space="preserve"> PAGE   \* MERGEFORMAT </w:instrText>
        </w:r>
        <w:r>
          <w:fldChar w:fldCharType="separate"/>
        </w:r>
        <w:r w:rsidR="00B16F61">
          <w:rPr>
            <w:noProof/>
          </w:rPr>
          <w:t>5</w:t>
        </w:r>
        <w:r>
          <w:rPr>
            <w:noProof/>
          </w:rPr>
          <w:fldChar w:fldCharType="end"/>
        </w:r>
      </w:p>
    </w:sdtContent>
  </w:sdt>
  <w:p w:rsidR="0027487C" w:rsidRDefault="0027487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3AFA" w:rsidRDefault="00EE3AFA" w:rsidP="001938D9">
      <w:pPr>
        <w:spacing w:after="0" w:line="240" w:lineRule="auto"/>
      </w:pPr>
      <w:r>
        <w:separator/>
      </w:r>
    </w:p>
  </w:footnote>
  <w:footnote w:type="continuationSeparator" w:id="0">
    <w:p w:rsidR="00EE3AFA" w:rsidRDefault="00EE3AFA" w:rsidP="001938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B73FA"/>
    <w:multiLevelType w:val="hybridMultilevel"/>
    <w:tmpl w:val="2392F966"/>
    <w:lvl w:ilvl="0" w:tplc="D10A2A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1058A9"/>
    <w:multiLevelType w:val="hybridMultilevel"/>
    <w:tmpl w:val="913E5B2C"/>
    <w:lvl w:ilvl="0" w:tplc="D10A2A3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655607C"/>
    <w:multiLevelType w:val="hybridMultilevel"/>
    <w:tmpl w:val="6DC6E2E8"/>
    <w:lvl w:ilvl="0" w:tplc="D10A2A34">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6C496B4F"/>
    <w:multiLevelType w:val="hybridMultilevel"/>
    <w:tmpl w:val="24DEDD84"/>
    <w:lvl w:ilvl="0" w:tplc="D10A2A34">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FFA"/>
    <w:rsid w:val="00007101"/>
    <w:rsid w:val="000140CB"/>
    <w:rsid w:val="0002576B"/>
    <w:rsid w:val="00036372"/>
    <w:rsid w:val="00044E3B"/>
    <w:rsid w:val="00057BDA"/>
    <w:rsid w:val="00064695"/>
    <w:rsid w:val="000B27FF"/>
    <w:rsid w:val="000C3B7D"/>
    <w:rsid w:val="000E0E58"/>
    <w:rsid w:val="001139DD"/>
    <w:rsid w:val="00126706"/>
    <w:rsid w:val="00141777"/>
    <w:rsid w:val="001938D9"/>
    <w:rsid w:val="001B1B4E"/>
    <w:rsid w:val="001E3F35"/>
    <w:rsid w:val="001F4020"/>
    <w:rsid w:val="00201C11"/>
    <w:rsid w:val="00207F48"/>
    <w:rsid w:val="00220EB4"/>
    <w:rsid w:val="00222E17"/>
    <w:rsid w:val="002331BC"/>
    <w:rsid w:val="002652E5"/>
    <w:rsid w:val="0027487C"/>
    <w:rsid w:val="00274F59"/>
    <w:rsid w:val="00290D34"/>
    <w:rsid w:val="002B552E"/>
    <w:rsid w:val="002B6987"/>
    <w:rsid w:val="002D51ED"/>
    <w:rsid w:val="002F5BA8"/>
    <w:rsid w:val="00306CD5"/>
    <w:rsid w:val="00307691"/>
    <w:rsid w:val="003531D3"/>
    <w:rsid w:val="003F5D27"/>
    <w:rsid w:val="00420125"/>
    <w:rsid w:val="00442C27"/>
    <w:rsid w:val="00443D04"/>
    <w:rsid w:val="004528AA"/>
    <w:rsid w:val="00471661"/>
    <w:rsid w:val="0052031D"/>
    <w:rsid w:val="00536E25"/>
    <w:rsid w:val="00554CAB"/>
    <w:rsid w:val="00572B7F"/>
    <w:rsid w:val="005B3253"/>
    <w:rsid w:val="005C559A"/>
    <w:rsid w:val="00631FB1"/>
    <w:rsid w:val="00683148"/>
    <w:rsid w:val="0069120C"/>
    <w:rsid w:val="006B71AA"/>
    <w:rsid w:val="00701514"/>
    <w:rsid w:val="0071260F"/>
    <w:rsid w:val="00734CF7"/>
    <w:rsid w:val="00742CC4"/>
    <w:rsid w:val="00755690"/>
    <w:rsid w:val="007559B8"/>
    <w:rsid w:val="00771B13"/>
    <w:rsid w:val="00782E5B"/>
    <w:rsid w:val="00784ACF"/>
    <w:rsid w:val="007B35B4"/>
    <w:rsid w:val="007D4475"/>
    <w:rsid w:val="007E294C"/>
    <w:rsid w:val="007E6BAB"/>
    <w:rsid w:val="007F18D0"/>
    <w:rsid w:val="007F742B"/>
    <w:rsid w:val="00806220"/>
    <w:rsid w:val="00845948"/>
    <w:rsid w:val="00856F6C"/>
    <w:rsid w:val="0089306F"/>
    <w:rsid w:val="008A0F61"/>
    <w:rsid w:val="008A6593"/>
    <w:rsid w:val="008A7300"/>
    <w:rsid w:val="008B6E37"/>
    <w:rsid w:val="008C6EEC"/>
    <w:rsid w:val="008D2F8B"/>
    <w:rsid w:val="008D6B74"/>
    <w:rsid w:val="0093534B"/>
    <w:rsid w:val="00973559"/>
    <w:rsid w:val="009C068D"/>
    <w:rsid w:val="009E4A32"/>
    <w:rsid w:val="009F6B36"/>
    <w:rsid w:val="00A36C97"/>
    <w:rsid w:val="00A5136C"/>
    <w:rsid w:val="00A55F90"/>
    <w:rsid w:val="00A633E8"/>
    <w:rsid w:val="00AB5025"/>
    <w:rsid w:val="00AC3BAD"/>
    <w:rsid w:val="00AF4CAC"/>
    <w:rsid w:val="00AF7403"/>
    <w:rsid w:val="00B16F61"/>
    <w:rsid w:val="00B66FFA"/>
    <w:rsid w:val="00B90341"/>
    <w:rsid w:val="00BA580E"/>
    <w:rsid w:val="00BC3A8B"/>
    <w:rsid w:val="00BD1EEA"/>
    <w:rsid w:val="00BF1E81"/>
    <w:rsid w:val="00C124A4"/>
    <w:rsid w:val="00C17C9A"/>
    <w:rsid w:val="00C82D61"/>
    <w:rsid w:val="00C96CAB"/>
    <w:rsid w:val="00CC138F"/>
    <w:rsid w:val="00CC2CE1"/>
    <w:rsid w:val="00CD5921"/>
    <w:rsid w:val="00D07BB3"/>
    <w:rsid w:val="00D21F24"/>
    <w:rsid w:val="00D404F0"/>
    <w:rsid w:val="00D56086"/>
    <w:rsid w:val="00D56A44"/>
    <w:rsid w:val="00D82BEF"/>
    <w:rsid w:val="00DC2676"/>
    <w:rsid w:val="00DC4186"/>
    <w:rsid w:val="00DE3720"/>
    <w:rsid w:val="00E2196A"/>
    <w:rsid w:val="00E63A77"/>
    <w:rsid w:val="00EE3AFA"/>
    <w:rsid w:val="00EF2AD1"/>
    <w:rsid w:val="00F02970"/>
    <w:rsid w:val="00F0676D"/>
    <w:rsid w:val="00F10D8C"/>
    <w:rsid w:val="00F13230"/>
    <w:rsid w:val="00F252D9"/>
    <w:rsid w:val="00F3755F"/>
    <w:rsid w:val="00F54C6E"/>
    <w:rsid w:val="00F77737"/>
    <w:rsid w:val="00FC170A"/>
    <w:rsid w:val="00FF78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A6FCE4-32FC-4DE4-AC6C-12857CDA9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C3B7D"/>
    <w:rPr>
      <w:sz w:val="16"/>
      <w:szCs w:val="16"/>
    </w:rPr>
  </w:style>
  <w:style w:type="paragraph" w:styleId="CommentText">
    <w:name w:val="annotation text"/>
    <w:basedOn w:val="Normal"/>
    <w:link w:val="CommentTextChar"/>
    <w:uiPriority w:val="99"/>
    <w:semiHidden/>
    <w:unhideWhenUsed/>
    <w:rsid w:val="000C3B7D"/>
    <w:pPr>
      <w:spacing w:line="240" w:lineRule="auto"/>
    </w:pPr>
    <w:rPr>
      <w:sz w:val="20"/>
      <w:szCs w:val="20"/>
    </w:rPr>
  </w:style>
  <w:style w:type="character" w:customStyle="1" w:styleId="CommentTextChar">
    <w:name w:val="Comment Text Char"/>
    <w:basedOn w:val="DefaultParagraphFont"/>
    <w:link w:val="CommentText"/>
    <w:uiPriority w:val="99"/>
    <w:semiHidden/>
    <w:rsid w:val="000C3B7D"/>
    <w:rPr>
      <w:sz w:val="20"/>
      <w:szCs w:val="20"/>
    </w:rPr>
  </w:style>
  <w:style w:type="paragraph" w:styleId="CommentSubject">
    <w:name w:val="annotation subject"/>
    <w:basedOn w:val="CommentText"/>
    <w:next w:val="CommentText"/>
    <w:link w:val="CommentSubjectChar"/>
    <w:uiPriority w:val="99"/>
    <w:semiHidden/>
    <w:unhideWhenUsed/>
    <w:rsid w:val="000C3B7D"/>
    <w:rPr>
      <w:b/>
      <w:bCs/>
    </w:rPr>
  </w:style>
  <w:style w:type="character" w:customStyle="1" w:styleId="CommentSubjectChar">
    <w:name w:val="Comment Subject Char"/>
    <w:basedOn w:val="CommentTextChar"/>
    <w:link w:val="CommentSubject"/>
    <w:uiPriority w:val="99"/>
    <w:semiHidden/>
    <w:rsid w:val="000C3B7D"/>
    <w:rPr>
      <w:b/>
      <w:bCs/>
      <w:sz w:val="20"/>
      <w:szCs w:val="20"/>
    </w:rPr>
  </w:style>
  <w:style w:type="paragraph" w:styleId="BalloonText">
    <w:name w:val="Balloon Text"/>
    <w:basedOn w:val="Normal"/>
    <w:link w:val="BalloonTextChar"/>
    <w:uiPriority w:val="99"/>
    <w:semiHidden/>
    <w:unhideWhenUsed/>
    <w:rsid w:val="000C3B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3B7D"/>
    <w:rPr>
      <w:rFonts w:ascii="Segoe UI" w:hAnsi="Segoe UI" w:cs="Segoe UI"/>
      <w:sz w:val="18"/>
      <w:szCs w:val="18"/>
    </w:rPr>
  </w:style>
  <w:style w:type="paragraph" w:styleId="ListParagraph">
    <w:name w:val="List Paragraph"/>
    <w:basedOn w:val="Normal"/>
    <w:uiPriority w:val="34"/>
    <w:qFormat/>
    <w:rsid w:val="001938D9"/>
    <w:pPr>
      <w:ind w:left="720"/>
      <w:contextualSpacing/>
    </w:pPr>
  </w:style>
  <w:style w:type="paragraph" w:styleId="Header">
    <w:name w:val="header"/>
    <w:basedOn w:val="Normal"/>
    <w:link w:val="HeaderChar"/>
    <w:uiPriority w:val="99"/>
    <w:unhideWhenUsed/>
    <w:rsid w:val="001938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38D9"/>
  </w:style>
  <w:style w:type="paragraph" w:styleId="Footer">
    <w:name w:val="footer"/>
    <w:basedOn w:val="Normal"/>
    <w:link w:val="FooterChar"/>
    <w:uiPriority w:val="99"/>
    <w:unhideWhenUsed/>
    <w:rsid w:val="001938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38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852EDF-381D-42C6-BB77-C14DFF57C5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7DE5EEB-62DA-461E-A1D7-DD027438F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80E1A9-C537-40C1-BECD-ECE03CD880FB}">
  <ds:schemaRefs>
    <ds:schemaRef ds:uri="http://schemas.microsoft.com/sharepoint/v3/contenttype/forms"/>
  </ds:schemaRefs>
</ds:datastoreItem>
</file>

<file path=customXml/itemProps4.xml><?xml version="1.0" encoding="utf-8"?>
<ds:datastoreItem xmlns:ds="http://schemas.openxmlformats.org/officeDocument/2006/customXml" ds:itemID="{ACF6EA21-9EE6-4C4D-B0BF-45C3E142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1543</Words>
  <Characters>8799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Vella</dc:creator>
  <cp:keywords/>
  <dc:description/>
  <cp:lastModifiedBy>Attard Marcelle at MCA</cp:lastModifiedBy>
  <cp:revision>2</cp:revision>
  <dcterms:created xsi:type="dcterms:W3CDTF">2020-08-04T09:41:00Z</dcterms:created>
  <dcterms:modified xsi:type="dcterms:W3CDTF">2020-08-04T09:41:00Z</dcterms:modified>
</cp:coreProperties>
</file>